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F0F8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noProof w:val="0"/>
          <w:sz w:val="24"/>
          <w:szCs w:val="24"/>
          <w:lang w:val="de-DE"/>
        </w:rPr>
      </w:pPr>
      <w:r w:rsidRPr="00DB3E11">
        <w:rPr>
          <w:rFonts w:ascii="Arial" w:hAnsi="Arial" w:cs="Arial"/>
          <w:b/>
          <w:bCs/>
          <w:noProof w:val="0"/>
          <w:sz w:val="24"/>
          <w:szCs w:val="24"/>
          <w:lang w:val="de-DE"/>
        </w:rPr>
        <w:t xml:space="preserve">DRV: </w:t>
      </w:r>
      <w:r w:rsidR="003A46D7" w:rsidRPr="00DB3E11">
        <w:rPr>
          <w:rFonts w:ascii="Arial" w:hAnsi="Arial" w:cs="Arial"/>
          <w:b/>
          <w:bCs/>
          <w:noProof w:val="0"/>
          <w:sz w:val="24"/>
          <w:szCs w:val="24"/>
          <w:lang w:val="de-DE"/>
        </w:rPr>
        <w:t>Sozialversicherungsrechtliche Beurteilung</w:t>
      </w:r>
      <w:r w:rsidR="003D1A32" w:rsidRPr="00DB3E11">
        <w:rPr>
          <w:rFonts w:ascii="Arial" w:hAnsi="Arial" w:cs="Arial"/>
          <w:b/>
          <w:bCs/>
          <w:noProof w:val="0"/>
          <w:sz w:val="24"/>
          <w:szCs w:val="24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noProof w:val="0"/>
          <w:sz w:val="24"/>
          <w:szCs w:val="24"/>
          <w:lang w:val="de-DE"/>
        </w:rPr>
        <w:t>von geringfügigen Ehegattenbeschäftigungsverhältnissen</w:t>
      </w:r>
      <w:r w:rsidR="003D1A32" w:rsidRPr="00DB3E11">
        <w:rPr>
          <w:rFonts w:ascii="Arial" w:hAnsi="Arial" w:cs="Arial"/>
          <w:b/>
          <w:bCs/>
          <w:noProof w:val="0"/>
          <w:sz w:val="24"/>
          <w:szCs w:val="24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noProof w:val="0"/>
          <w:sz w:val="24"/>
          <w:szCs w:val="24"/>
          <w:lang w:val="de-DE"/>
        </w:rPr>
        <w:t>bei Überlassung eines Firmenwagens</w:t>
      </w:r>
    </w:p>
    <w:p w14:paraId="77F812BB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noProof w:val="0"/>
          <w:sz w:val="24"/>
          <w:szCs w:val="24"/>
          <w:lang w:val="de-DE"/>
        </w:rPr>
      </w:pPr>
    </w:p>
    <w:p w14:paraId="7DB53EA1" w14:textId="12C018A3" w:rsidR="003A46D7" w:rsidRPr="00DB3E11" w:rsidRDefault="003D1A32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noProof w:val="0"/>
          <w:lang w:val="de-DE"/>
        </w:rPr>
      </w:pPr>
      <w:r w:rsidRPr="00DB3E11">
        <w:rPr>
          <w:rFonts w:ascii="Arial" w:hAnsi="Arial" w:cs="Arial"/>
          <w:b/>
          <w:bCs/>
          <w:noProof w:val="0"/>
          <w:lang w:val="de-DE"/>
        </w:rPr>
        <w:t>Steuer und Sozialversicherung gehen unterschiedliche Wege</w:t>
      </w:r>
    </w:p>
    <w:p w14:paraId="044E3089" w14:textId="776888B3" w:rsidR="003D1A32" w:rsidRPr="00DB3E11" w:rsidRDefault="003D1A32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noProof w:val="0"/>
          <w:lang w:val="de-DE"/>
        </w:rPr>
      </w:pPr>
    </w:p>
    <w:p w14:paraId="0051352A" w14:textId="2ABE5CDF" w:rsidR="00133986" w:rsidRPr="00DB3E11" w:rsidRDefault="00133986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noProof w:val="0"/>
          <w:lang w:val="de-DE"/>
        </w:rPr>
      </w:pPr>
      <w:r w:rsidRPr="00DB3E11">
        <w:rPr>
          <w:rFonts w:ascii="Arial" w:hAnsi="Arial" w:cs="Arial"/>
          <w:bCs/>
          <w:noProof w:val="0"/>
          <w:lang w:val="de-DE"/>
        </w:rPr>
        <w:t xml:space="preserve">Nachdem der Bundesfinanzhof 2018 entschieden hat, dass ein als Minijob ausgestaltetes Ehegattenarbeitsverhältnis, dessen Barlohn durch Entgeltumwandlung größtenteils durch den geldwerten Vorteil aus einer Pkw-Überlassung abgegolten wird, steuerlich mangels Fremdüblichkeit nicht anzuerkennen ist, hat sich jetzt auch die Sozialversicherung dazu geäußert. Danach wird das Arbeitsverhältnis zwar bei Vorliegen der sozialversicherungsrechtlichen Voraussetzungen anerkannt – aber der </w:t>
      </w:r>
      <w:proofErr w:type="spellStart"/>
      <w:r w:rsidRPr="00DB3E11">
        <w:rPr>
          <w:rFonts w:ascii="Arial" w:hAnsi="Arial" w:cs="Arial"/>
          <w:bCs/>
          <w:noProof w:val="0"/>
          <w:lang w:val="de-DE"/>
        </w:rPr>
        <w:t>Sachlohn</w:t>
      </w:r>
      <w:proofErr w:type="spellEnd"/>
      <w:r w:rsidRPr="00DB3E11">
        <w:rPr>
          <w:rFonts w:ascii="Arial" w:hAnsi="Arial" w:cs="Arial"/>
          <w:bCs/>
          <w:noProof w:val="0"/>
          <w:lang w:val="de-DE"/>
        </w:rPr>
        <w:t xml:space="preserve"> erfüllt nicht die Funktion eines angemessenen (Mindest-)Lohns. D.h. hier kommt es auch ohne Auszahlung zu einer Verbeitragung von Phantomlohn.</w:t>
      </w:r>
    </w:p>
    <w:p w14:paraId="63FDA53C" w14:textId="14B8E0EA" w:rsidR="00133986" w:rsidRPr="00DB3E11" w:rsidRDefault="00133986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noProof w:val="0"/>
          <w:lang w:val="de-DE"/>
        </w:rPr>
      </w:pPr>
    </w:p>
    <w:p w14:paraId="13993CFD" w14:textId="6F4A74D0" w:rsidR="00133986" w:rsidRPr="00DB3E11" w:rsidRDefault="00133986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noProof w:val="0"/>
          <w:lang w:val="de-DE"/>
        </w:rPr>
      </w:pPr>
      <w:r w:rsidRPr="00DB3E11">
        <w:rPr>
          <w:rFonts w:ascii="Arial" w:hAnsi="Arial" w:cs="Arial"/>
          <w:bCs/>
          <w:noProof w:val="0"/>
          <w:lang w:val="de-DE"/>
        </w:rPr>
        <w:t>Im Einzelnen sind die sozialversicherungsrechtlichen Grundlagen dazu in der Publikation der Deutschen Rentenversicherung summa summarum für die Sozialversicherungsprüfung im Unternehmen, Heft 4/2021, Seite 5</w:t>
      </w:r>
      <w:r w:rsidR="00140B64">
        <w:rPr>
          <w:rFonts w:ascii="Arial" w:hAnsi="Arial" w:cs="Arial"/>
          <w:bCs/>
          <w:noProof w:val="0"/>
          <w:lang w:val="de-DE"/>
        </w:rPr>
        <w:t xml:space="preserve"> </w:t>
      </w:r>
      <w:r w:rsidRPr="00DB3E11">
        <w:rPr>
          <w:rFonts w:ascii="Arial" w:hAnsi="Arial" w:cs="Arial"/>
          <w:bCs/>
          <w:noProof w:val="0"/>
          <w:lang w:val="de-DE"/>
        </w:rPr>
        <w:t>ff</w:t>
      </w:r>
      <w:r w:rsidR="00140B64">
        <w:rPr>
          <w:rFonts w:ascii="Arial" w:hAnsi="Arial" w:cs="Arial"/>
          <w:bCs/>
          <w:noProof w:val="0"/>
          <w:lang w:val="de-DE"/>
        </w:rPr>
        <w:t>.</w:t>
      </w:r>
      <w:r w:rsidRPr="00DB3E11">
        <w:rPr>
          <w:rFonts w:ascii="Arial" w:hAnsi="Arial" w:cs="Arial"/>
          <w:bCs/>
          <w:noProof w:val="0"/>
          <w:lang w:val="de-DE"/>
        </w:rPr>
        <w:t xml:space="preserve"> wie folgt dargestellt:</w:t>
      </w:r>
    </w:p>
    <w:p w14:paraId="0219DBCD" w14:textId="3511FD7F" w:rsidR="00133986" w:rsidRPr="00DB3E11" w:rsidRDefault="00133986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noProof w:val="0"/>
          <w:lang w:val="de-DE"/>
        </w:rPr>
      </w:pPr>
    </w:p>
    <w:p w14:paraId="5AEE8017" w14:textId="272B89AC" w:rsidR="003A46D7" w:rsidRDefault="00133986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noProof w:val="0"/>
          <w:lang w:val="de-DE"/>
        </w:rPr>
      </w:pPr>
      <w:r w:rsidRPr="00DB3E11">
        <w:rPr>
          <w:rFonts w:ascii="Arial" w:hAnsi="Arial" w:cs="Arial"/>
          <w:b/>
          <w:bCs/>
          <w:i/>
          <w:noProof w:val="0"/>
          <w:lang w:val="de-DE"/>
        </w:rPr>
        <w:t>„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Der BFH hat mit Urteil vom 10. Oktober 2018 – X R 44-45/17 –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entschieden, dass die Überlassung eines Firmenwagens zur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unbeschränkten und selbstbeteiligungsfreien Privatnutzung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an einen geringfügig entlohnt beschäftigten Ehegatten fremdunüblich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und daher steuerrechtlich nicht anzuerkennen ist.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Auf das Versicherungs- und Beitragsrecht der Sozialversicherung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="003A46D7" w:rsidRPr="00DB3E11">
        <w:rPr>
          <w:rFonts w:ascii="Arial" w:hAnsi="Arial" w:cs="Arial"/>
          <w:b/>
          <w:bCs/>
          <w:i/>
          <w:noProof w:val="0"/>
          <w:lang w:val="de-DE"/>
        </w:rPr>
        <w:t>kann die Entscheidung des BFH nicht übertragen werden.</w:t>
      </w:r>
    </w:p>
    <w:p w14:paraId="4C4D49F9" w14:textId="77777777" w:rsidR="00DB3E11" w:rsidRPr="00DB3E11" w:rsidRDefault="00DB3E11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noProof w:val="0"/>
          <w:lang w:val="de-DE"/>
        </w:rPr>
      </w:pPr>
    </w:p>
    <w:p w14:paraId="26658938" w14:textId="20CAB4BA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Dem Streitverfahren lag der Sachverhalt zu Grunde, dass ein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Arbeitgeber seine Ehefrau im Rahmen einer geringfügig entlohnten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Beschäftigung im Sinne der Sozialversicherung zunächst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mit einem regelmäßigen monatlichen Arbeitsentgelt in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Höhe von 400 Euro beschäftigt hatte. In diesem Zusammenhang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hatte der Arbeitgeber seiner Frau einen Firmenwagen zur unbeschränkten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und selbstbeteiligungsfreien Privatnutzung überlassen.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Durch einen Entgeltverzicht hatte sich der monatliche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Barlohnanspruch um den geldwerten Vorteil des überlassenen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Firmenwagens als Sachbezug vermindert. Als Barlohn wurd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e </w:t>
      </w:r>
      <w:r w:rsidRPr="00DB3E11">
        <w:rPr>
          <w:rFonts w:ascii="Arial" w:hAnsi="Arial" w:cs="Arial"/>
          <w:i/>
          <w:noProof w:val="0"/>
          <w:lang w:val="de-DE"/>
        </w:rPr>
        <w:t>danach nur noch ein Differenzbetrag zwischen dem vereinbarten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Monatslohn und dem geldwerten Vorteil aus der Firmenwagenüberlassung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ausgezahlt. Dieser belief sich im fraglichen Zeitraum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– je nach verwendetem Fahrzeug – nur noch auf 15 Euro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bzw. 137 Euro monatlich.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Nach den Feststellungen des BFH hält eine solche Ausgestaltung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des Dienstverhältnisses einem in steuerlicher Hinsich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t </w:t>
      </w:r>
      <w:r w:rsidRPr="00DB3E11">
        <w:rPr>
          <w:rFonts w:ascii="Arial" w:hAnsi="Arial" w:cs="Arial"/>
          <w:i/>
          <w:noProof w:val="0"/>
          <w:lang w:val="de-DE"/>
        </w:rPr>
        <w:t>notwendigen Fremdvergleich nicht stand. Steuerrechtlich ist der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Fall so zu behandeln, dass vom Arbeitsentgelt aus der Ehegattenbeschäftigung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keine Lohnsteuer (mehr) entrichtet wird und</w:t>
      </w:r>
      <w:r w:rsidR="003D1A32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es auch nicht (mehr) als Betriebsausgabe gebucht werden darf.</w:t>
      </w:r>
    </w:p>
    <w:p w14:paraId="1B83FC5E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6A1C87EB" w14:textId="5E0983E2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noProof w:val="0"/>
          <w:lang w:val="de-DE"/>
        </w:rPr>
      </w:pPr>
      <w:r w:rsidRPr="00DB3E11">
        <w:rPr>
          <w:rFonts w:ascii="Arial" w:hAnsi="Arial" w:cs="Arial"/>
          <w:b/>
          <w:bCs/>
          <w:i/>
          <w:noProof w:val="0"/>
          <w:lang w:val="de-DE"/>
        </w:rPr>
        <w:t>Wie definiert sich die Ehegattenbeschäftigung in der</w:t>
      </w:r>
      <w:r w:rsidR="003D1A32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b/>
          <w:bCs/>
          <w:i/>
          <w:noProof w:val="0"/>
          <w:lang w:val="de-DE"/>
        </w:rPr>
        <w:t>Sozialversicherung?</w:t>
      </w:r>
    </w:p>
    <w:p w14:paraId="27CF3BCC" w14:textId="1F265E6A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Ein entgeltliches Beschäftigungsverhältnis zwischen Angehörigen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(Ehegatten, Verlobten, Lebenspartnern, Lebensgefährten,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 xml:space="preserve">geschiedenen Ehegatten, Verwandten, Verschwägerten, sonstigen Familienangehörigen) im Sinne der Sozialversicherung </w:t>
      </w:r>
      <w:r w:rsidR="00CD2CED" w:rsidRPr="00DB3E11">
        <w:rPr>
          <w:rFonts w:ascii="Arial" w:hAnsi="Arial" w:cs="Arial"/>
          <w:i/>
          <w:noProof w:val="0"/>
          <w:lang w:val="de-DE"/>
        </w:rPr>
        <w:t>k</w:t>
      </w:r>
      <w:r w:rsidRPr="00DB3E11">
        <w:rPr>
          <w:rFonts w:ascii="Arial" w:hAnsi="Arial" w:cs="Arial"/>
          <w:i/>
          <w:noProof w:val="0"/>
          <w:lang w:val="de-DE"/>
        </w:rPr>
        <w:t>ann nach den in der sozialgerichtlichen Rechtsprechung entwickelten Grundsätzen angenommen werden, wenn</w:t>
      </w:r>
    </w:p>
    <w:p w14:paraId="1E00C8F3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0C4EA283" w14:textId="395EB02C" w:rsidR="003A46D7" w:rsidRPr="00DB3E11" w:rsidRDefault="003A46D7" w:rsidP="00140B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der Angehörige in den Betrieb des Arbeitgebers wie eine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fremde Arbeitskraft eingegliedert ist und die Beschäftigung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tatsächlich ausübt,</w:t>
      </w:r>
    </w:p>
    <w:p w14:paraId="56B81CE0" w14:textId="294C5A7C" w:rsidR="003A46D7" w:rsidRPr="00DB3E11" w:rsidRDefault="003A46D7" w:rsidP="00140B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der Angehörige dem Weisungsrecht des Arbeitgebers –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wenn auch in abgeschwächter Form – unterliegt,</w:t>
      </w:r>
    </w:p>
    <w:p w14:paraId="45EE4C13" w14:textId="7DBA64C0" w:rsidR="003A46D7" w:rsidRPr="00DB3E11" w:rsidRDefault="003A46D7" w:rsidP="00140B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der Angehörige anstelle einer fremden Arbeitskraft beschäftigt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wird,</w:t>
      </w:r>
    </w:p>
    <w:p w14:paraId="531C0C6E" w14:textId="1129F13C" w:rsidR="003A46D7" w:rsidRPr="00DB3E11" w:rsidRDefault="003A46D7" w:rsidP="00140B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ein der Arbeitsleistung angemessenes (d. h. im Regelfall ein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tarifliches oder ortsübliches) Arbeitsentgelt vereinbart ist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und auch regelmäßig gezahlt wird,</w:t>
      </w:r>
    </w:p>
    <w:p w14:paraId="3C86124A" w14:textId="158BD068" w:rsidR="003A46D7" w:rsidRPr="00DB3E11" w:rsidRDefault="003A46D7" w:rsidP="00140B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von dem Arbeitsentgelt regelmäßig Lohnsteuer entrichtet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wird und</w:t>
      </w:r>
    </w:p>
    <w:p w14:paraId="7E7862BE" w14:textId="31D185AA" w:rsidR="003A46D7" w:rsidRPr="00DB3E11" w:rsidRDefault="003A46D7" w:rsidP="00140B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das Arbeitsentgelt als Betriebsausgabe gebucht wird.</w:t>
      </w:r>
    </w:p>
    <w:p w14:paraId="642615A8" w14:textId="77777777" w:rsidR="00CD2CED" w:rsidRPr="00DB3E11" w:rsidRDefault="00CD2CED" w:rsidP="00140B6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44CED682" w14:textId="31756FDA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lastRenderedPageBreak/>
        <w:t>Dabei ist es ohne Bedeutung, ob die Beschäftigung im Rahmen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einer nur geringfügig entlohnten oder mehr als geringfügig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entlohnten Beschäftigung ausgeübt wird (vergleiche dazu das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Rundschreiben „Statusfeststellung von Erwerbstätigen“ vom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21. März 2019, Anlage 4).</w:t>
      </w:r>
    </w:p>
    <w:p w14:paraId="0150BF89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29096B3E" w14:textId="2E18F2CC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noProof w:val="0"/>
          <w:lang w:val="de-DE"/>
        </w:rPr>
      </w:pPr>
      <w:r w:rsidRPr="00DB3E11">
        <w:rPr>
          <w:rFonts w:ascii="Arial" w:hAnsi="Arial" w:cs="Arial"/>
          <w:b/>
          <w:bCs/>
          <w:i/>
          <w:noProof w:val="0"/>
          <w:lang w:val="de-DE"/>
        </w:rPr>
        <w:t>Wirkt sich die BFH-Rechtsprechung auf die</w:t>
      </w:r>
      <w:r w:rsidR="00CD2CED" w:rsidRPr="00DB3E11">
        <w:rPr>
          <w:rFonts w:ascii="Arial" w:hAnsi="Arial" w:cs="Arial"/>
          <w:b/>
          <w:bCs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b/>
          <w:bCs/>
          <w:i/>
          <w:noProof w:val="0"/>
          <w:lang w:val="de-DE"/>
        </w:rPr>
        <w:t>Sozialversicherung aus?</w:t>
      </w:r>
    </w:p>
    <w:p w14:paraId="2F67EACF" w14:textId="009A165F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In die sozialgerichtliche Rechtsprechung hat die Rechtsprechung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des BFH, ob das sozialversicherungsrelevante Beschäftigungsverhältnis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einem Fremdvergleich standhält, bisher keinen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Eingang gefunden. Beschäftigung im Sinne der Sozialversicherung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ist die nichtselbständige Arbeit, insbesondere in einem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Arbeitsverhältnis. Die nichtselbständige Arbeit wird durch die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Tätigkeit nach Weisungen und die Eingliederung in die Arbeitsorganisation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des Weisungsgebers geprägt (§ 7 Abs. 1 SGB IV).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Insoweit ist insbesondere auf diese Anhaltspunkte abzustellen.</w:t>
      </w:r>
    </w:p>
    <w:p w14:paraId="1AA8BDD3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1B8CE607" w14:textId="44C72091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Die Rechtsprechung des BFH zum Fremdvergleich im Rahmen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des Betriebsausgabenabzugs kann demgegenüber nicht auf die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Frage übertragen werden, ob die Tätigkeit eines Angehörigen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sozialversicherungsrechtlich als Beschäftigung anzusehen ist.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Ein geringfügig entlohntes Beschäftigungsverhältnis (Minijob)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zwischen Ehegatten ist sozialversicherungsrechtlich daher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regelmäßig anzuerkennen, wenn der Ehegatte aufgrund eines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Arbeitsvertrages nach § 611a BGB beschäftigt wird und</w:t>
      </w:r>
    </w:p>
    <w:p w14:paraId="26392814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7327C904" w14:textId="42E75C96" w:rsidR="003A46D7" w:rsidRPr="00DB3E11" w:rsidRDefault="003A46D7" w:rsidP="00140B6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er in den Betrieb des Arbeitgebers wie eine fremde Arbeitskraft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eingegliedert ist und die Beschäftigung tatsächlich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ausübt,</w:t>
      </w:r>
    </w:p>
    <w:p w14:paraId="30A2D07E" w14:textId="2DEFFAED" w:rsidR="003A46D7" w:rsidRPr="00DB3E11" w:rsidRDefault="003A46D7" w:rsidP="00140B6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er dem Weisungsrecht des Arbeitgebers – wenn auch in abgeschwächter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Form – unterliegt,</w:t>
      </w:r>
    </w:p>
    <w:p w14:paraId="7125379B" w14:textId="2394F8DF" w:rsidR="003A46D7" w:rsidRPr="00DB3E11" w:rsidRDefault="003A46D7" w:rsidP="00140B6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er anstelle einer fremden Arbeitskraft beschäftigt wird und</w:t>
      </w:r>
    </w:p>
    <w:p w14:paraId="6CCC9765" w14:textId="5AB5065F" w:rsidR="003A46D7" w:rsidRPr="00DB3E11" w:rsidRDefault="003A46D7" w:rsidP="00140B6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ein der Arbeitsleistung angemessenes (d. h. im Regelfall ein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tarifliches oder ortsübliches) Arbeitsentgelt vereinbart ist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und auch regelmäßig gezahlt wird.</w:t>
      </w:r>
    </w:p>
    <w:p w14:paraId="78ACB185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052B067D" w14:textId="43E62C75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Dem geringfügig entlohnten Ehegattenbeschäftigungsverhältnis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steht nicht entgegen, dass aufgrund der Rechtsprechung des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BFH vom Arbeitsentgelt Lohnsteuer nicht entrichtet und deswegen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das Arbeitsentgelt nicht als Betriebsausgabe gebucht wird.</w:t>
      </w:r>
    </w:p>
    <w:p w14:paraId="70445B0B" w14:textId="77777777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5EA49863" w14:textId="77777777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i/>
          <w:noProof w:val="0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E11">
        <w:rPr>
          <w:rFonts w:ascii="Arial" w:hAnsi="Arial" w:cs="Arial"/>
          <w:bCs/>
          <w:i/>
          <w:noProof w:val="0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Mindestlohn und Sachbezug</w:t>
      </w:r>
    </w:p>
    <w:p w14:paraId="28378B26" w14:textId="2F76EB98" w:rsidR="003A46D7" w:rsidRPr="00DB3E11" w:rsidRDefault="003A46D7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  <w:r w:rsidRPr="00DB3E11">
        <w:rPr>
          <w:rFonts w:ascii="Arial" w:hAnsi="Arial" w:cs="Arial"/>
          <w:i/>
          <w:noProof w:val="0"/>
          <w:lang w:val="de-DE"/>
        </w:rPr>
        <w:t>Dem Ehegatten muss unter Beachtung seiner Arbeitsleistung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mindestens der gesetzliche Mindestlohn gezahlt werden. Dabei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ist zu beachten, dass durch Sachbezüge der gesetzliche Mindestlohn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nicht erfüllt wird. Liegt ein anzuerkennendes Ehegattenbeschäftigungsverhältnis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im Sinne der Sozialversicherung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vor, muss unter Beachtung der geleisteten Arbeitsstunden der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Mindestlohn in Geld erbracht werden. Andernfalls muss nach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dem Entstehungsprinzip der Differenzbetrag verbeitragt werden</w:t>
      </w:r>
      <w:r w:rsidR="00CD2CED" w:rsidRPr="00DB3E11">
        <w:rPr>
          <w:rFonts w:ascii="Arial" w:hAnsi="Arial" w:cs="Arial"/>
          <w:i/>
          <w:noProof w:val="0"/>
          <w:lang w:val="de-DE"/>
        </w:rPr>
        <w:t xml:space="preserve"> </w:t>
      </w:r>
      <w:r w:rsidRPr="00DB3E11">
        <w:rPr>
          <w:rFonts w:ascii="Arial" w:hAnsi="Arial" w:cs="Arial"/>
          <w:i/>
          <w:noProof w:val="0"/>
          <w:lang w:val="de-DE"/>
        </w:rPr>
        <w:t>(sog. Phantomlohn).</w:t>
      </w:r>
      <w:r w:rsidR="00133986" w:rsidRPr="00DB3E11">
        <w:rPr>
          <w:rFonts w:ascii="Arial" w:hAnsi="Arial" w:cs="Arial"/>
          <w:i/>
          <w:noProof w:val="0"/>
          <w:lang w:val="de-DE"/>
        </w:rPr>
        <w:t>“</w:t>
      </w:r>
    </w:p>
    <w:p w14:paraId="0038EF34" w14:textId="233D4E39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noProof w:val="0"/>
          <w:lang w:val="de-DE"/>
        </w:rPr>
      </w:pPr>
    </w:p>
    <w:p w14:paraId="01EE9A42" w14:textId="25B4A26B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noProof w:val="0"/>
          <w:lang w:val="de-DE"/>
        </w:rPr>
      </w:pPr>
    </w:p>
    <w:p w14:paraId="08216D19" w14:textId="6FA95C0F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noProof w:val="0"/>
          <w:lang w:val="de-DE"/>
        </w:rPr>
      </w:pPr>
      <w:r w:rsidRPr="00DB3E11">
        <w:rPr>
          <w:rFonts w:ascii="Arial" w:hAnsi="Arial" w:cs="Arial"/>
          <w:b/>
          <w:noProof w:val="0"/>
          <w:lang w:val="de-DE"/>
        </w:rPr>
        <w:t>Folgen für die Praxis</w:t>
      </w:r>
    </w:p>
    <w:p w14:paraId="4F3D92B3" w14:textId="1ACC9F7A" w:rsidR="00CD2CED" w:rsidRPr="00DB3E11" w:rsidRDefault="00CD2CED" w:rsidP="00DB3E1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noProof w:val="0"/>
          <w:lang w:val="de-DE"/>
        </w:rPr>
      </w:pPr>
      <w:r w:rsidRPr="00DB3E11">
        <w:rPr>
          <w:rFonts w:ascii="Arial" w:hAnsi="Arial" w:cs="Arial"/>
          <w:noProof w:val="0"/>
          <w:lang w:val="de-DE"/>
        </w:rPr>
        <w:t xml:space="preserve">Man wird entsprechende Arbeitsverhältnisse neu prüfen müssen. </w:t>
      </w:r>
    </w:p>
    <w:sectPr w:rsidR="00CD2CED" w:rsidRPr="00DB3E1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94E3" w14:textId="77777777" w:rsidR="009877F0" w:rsidRDefault="009877F0" w:rsidP="00DB3E11">
      <w:pPr>
        <w:spacing w:after="0" w:line="240" w:lineRule="auto"/>
      </w:pPr>
      <w:r>
        <w:separator/>
      </w:r>
    </w:p>
  </w:endnote>
  <w:endnote w:type="continuationSeparator" w:id="0">
    <w:p w14:paraId="1E2A18B4" w14:textId="77777777" w:rsidR="009877F0" w:rsidRDefault="009877F0" w:rsidP="00DB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926" w14:textId="77777777" w:rsidR="00DB3E11" w:rsidRPr="00140B64" w:rsidRDefault="00DB3E11" w:rsidP="00DB3E11">
    <w:pPr>
      <w:pStyle w:val="Fuzeile"/>
      <w:rPr>
        <w:rFonts w:ascii="Arial" w:hAnsi="Arial" w:cs="Arial"/>
        <w:sz w:val="18"/>
        <w:szCs w:val="18"/>
        <w:lang w:val="de-DE"/>
      </w:rPr>
    </w:pPr>
    <w:r w:rsidRPr="00140B64">
      <w:rPr>
        <w:rFonts w:ascii="Arial" w:hAnsi="Arial" w:cs="Arial"/>
        <w:sz w:val="18"/>
        <w:szCs w:val="18"/>
        <w:lang w:val="de-DE"/>
      </w:rPr>
      <w:t>Stand Januar 2022</w:t>
    </w:r>
  </w:p>
  <w:p w14:paraId="4002CB08" w14:textId="77777777" w:rsidR="00DB3E11" w:rsidRPr="00140B64" w:rsidRDefault="00DB3E11" w:rsidP="00DB3E11">
    <w:pPr>
      <w:pStyle w:val="Fuzeile"/>
      <w:rPr>
        <w:rFonts w:ascii="Arial" w:hAnsi="Arial" w:cs="Arial"/>
        <w:sz w:val="18"/>
        <w:szCs w:val="18"/>
        <w:lang w:val="de-DE"/>
      </w:rPr>
    </w:pPr>
  </w:p>
  <w:p w14:paraId="78AEF99F" w14:textId="06F51851" w:rsidR="00DB3E11" w:rsidRPr="00140B64" w:rsidRDefault="00DB3E11" w:rsidP="00DB3E11">
    <w:pPr>
      <w:pStyle w:val="Fuzeile"/>
      <w:rPr>
        <w:rFonts w:ascii="Arial" w:hAnsi="Arial" w:cs="Arial"/>
        <w:sz w:val="18"/>
        <w:szCs w:val="18"/>
        <w:lang w:val="de-DE"/>
      </w:rPr>
    </w:pPr>
    <w:r w:rsidRPr="00140B64">
      <w:rPr>
        <w:rFonts w:ascii="Arial" w:hAnsi="Arial" w:cs="Arial"/>
        <w:sz w:val="18"/>
        <w:szCs w:val="18"/>
        <w:lang w:val="de-DE"/>
      </w:rPr>
      <w:t>© Deubner Verlag GmbH &amp; Co. KG, www. deubner-</w:t>
    </w:r>
    <w:r w:rsidR="00140B64">
      <w:rPr>
        <w:rFonts w:ascii="Arial" w:hAnsi="Arial" w:cs="Arial"/>
        <w:sz w:val="18"/>
        <w:szCs w:val="18"/>
        <w:lang w:val="de-DE"/>
      </w:rPr>
      <w:t>v</w:t>
    </w:r>
    <w:r w:rsidRPr="00140B64">
      <w:rPr>
        <w:rFonts w:ascii="Arial" w:hAnsi="Arial" w:cs="Arial"/>
        <w:sz w:val="18"/>
        <w:szCs w:val="18"/>
        <w:lang w:val="de-DE"/>
      </w:rPr>
      <w:t>erlag.de</w:t>
    </w:r>
    <w:r w:rsidRPr="00140B64">
      <w:rPr>
        <w:rFonts w:ascii="Arial" w:hAnsi="Arial" w:cs="Arial"/>
        <w:sz w:val="18"/>
        <w:szCs w:val="18"/>
        <w:lang w:val="de-DE"/>
      </w:rPr>
      <w:tab/>
    </w:r>
    <w:sdt>
      <w:sdtPr>
        <w:rPr>
          <w:rFonts w:ascii="Arial" w:hAnsi="Arial" w:cs="Arial"/>
          <w:sz w:val="18"/>
          <w:szCs w:val="18"/>
        </w:rPr>
        <w:id w:val="730277343"/>
        <w:docPartObj>
          <w:docPartGallery w:val="Page Numbers (Bottom of Page)"/>
          <w:docPartUnique/>
        </w:docPartObj>
      </w:sdtPr>
      <w:sdtEndPr/>
      <w:sdtContent>
        <w:r w:rsidRPr="00140B64">
          <w:rPr>
            <w:rFonts w:ascii="Arial" w:hAnsi="Arial" w:cs="Arial"/>
            <w:sz w:val="18"/>
            <w:szCs w:val="18"/>
          </w:rPr>
          <w:fldChar w:fldCharType="begin"/>
        </w:r>
        <w:r w:rsidRPr="00140B64">
          <w:rPr>
            <w:rFonts w:ascii="Arial" w:hAnsi="Arial" w:cs="Arial"/>
            <w:sz w:val="18"/>
            <w:szCs w:val="18"/>
            <w:lang w:val="de-DE"/>
          </w:rPr>
          <w:instrText>PAGE   \* MERGEFORMAT</w:instrText>
        </w:r>
        <w:r w:rsidRPr="00140B64">
          <w:rPr>
            <w:rFonts w:ascii="Arial" w:hAnsi="Arial" w:cs="Arial"/>
            <w:sz w:val="18"/>
            <w:szCs w:val="18"/>
          </w:rPr>
          <w:fldChar w:fldCharType="separate"/>
        </w:r>
        <w:r w:rsidRPr="00140B64">
          <w:rPr>
            <w:rFonts w:ascii="Arial" w:hAnsi="Arial" w:cs="Arial"/>
            <w:sz w:val="18"/>
            <w:szCs w:val="18"/>
            <w:lang w:val="de-DE"/>
          </w:rPr>
          <w:t>1</w:t>
        </w:r>
        <w:r w:rsidRPr="00140B64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A5E1" w14:textId="77777777" w:rsidR="009877F0" w:rsidRDefault="009877F0" w:rsidP="00DB3E11">
      <w:pPr>
        <w:spacing w:after="0" w:line="240" w:lineRule="auto"/>
      </w:pPr>
      <w:r>
        <w:separator/>
      </w:r>
    </w:p>
  </w:footnote>
  <w:footnote w:type="continuationSeparator" w:id="0">
    <w:p w14:paraId="2FDF0F18" w14:textId="77777777" w:rsidR="009877F0" w:rsidRDefault="009877F0" w:rsidP="00DB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D8"/>
    <w:multiLevelType w:val="hybridMultilevel"/>
    <w:tmpl w:val="9D3ED866"/>
    <w:lvl w:ilvl="0" w:tplc="3A1EE5F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044"/>
    <w:multiLevelType w:val="hybridMultilevel"/>
    <w:tmpl w:val="99B06196"/>
    <w:lvl w:ilvl="0" w:tplc="2108A5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903"/>
    <w:multiLevelType w:val="hybridMultilevel"/>
    <w:tmpl w:val="172EBD2C"/>
    <w:lvl w:ilvl="0" w:tplc="2108A55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941A5"/>
    <w:multiLevelType w:val="hybridMultilevel"/>
    <w:tmpl w:val="26E0CF3A"/>
    <w:lvl w:ilvl="0" w:tplc="3A1EE5F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0F5F"/>
    <w:multiLevelType w:val="hybridMultilevel"/>
    <w:tmpl w:val="E2D2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3263"/>
    <w:multiLevelType w:val="hybridMultilevel"/>
    <w:tmpl w:val="A78ADC66"/>
    <w:lvl w:ilvl="0" w:tplc="3A1EE5F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C3"/>
    <w:rsid w:val="000D75E1"/>
    <w:rsid w:val="00133986"/>
    <w:rsid w:val="00140B64"/>
    <w:rsid w:val="003A46D7"/>
    <w:rsid w:val="003D1A32"/>
    <w:rsid w:val="00792167"/>
    <w:rsid w:val="009877F0"/>
    <w:rsid w:val="009C1D4A"/>
    <w:rsid w:val="00CD2CED"/>
    <w:rsid w:val="00DB3E11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7DD"/>
  <w15:chartTrackingRefBased/>
  <w15:docId w15:val="{D6671A94-5A62-4C97-8252-1A8A5E1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E11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B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E11"/>
    <w:rPr>
      <w:noProof/>
      <w:lang w:val="en-GB"/>
    </w:rPr>
  </w:style>
  <w:style w:type="paragraph" w:styleId="Listenabsatz">
    <w:name w:val="List Paragraph"/>
    <w:basedOn w:val="Standard"/>
    <w:uiPriority w:val="34"/>
    <w:qFormat/>
    <w:rsid w:val="00DB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d1982887-fbb1-41ef-a70a-90104f183e15</BSO999929>
</file>

<file path=customXml/itemProps1.xml><?xml version="1.0" encoding="utf-8"?>
<ds:datastoreItem xmlns:ds="http://schemas.openxmlformats.org/officeDocument/2006/customXml" ds:itemID="{FC9C68CE-18C3-4112-BF88-EF41673E310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MEDIA GmbH &amp; Co. KG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/>
  <dc:description/>
</cp:coreProperties>
</file>