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22" w:type="dxa"/>
        <w:tblLook w:val="04A0" w:firstRow="1" w:lastRow="0" w:firstColumn="1" w:lastColumn="0" w:noHBand="0" w:noVBand="1"/>
      </w:tblPr>
      <w:tblGrid>
        <w:gridCol w:w="9322"/>
      </w:tblGrid>
      <w:tr w:rsidR="00740C0C" w:rsidRPr="00BF12C5" w14:paraId="3161382F" w14:textId="77777777" w:rsidTr="00BF12C5">
        <w:tc>
          <w:tcPr>
            <w:tcW w:w="9322" w:type="dxa"/>
            <w:shd w:val="clear" w:color="auto" w:fill="D9D9D9" w:themeFill="background1" w:themeFillShade="D9"/>
          </w:tcPr>
          <w:p w14:paraId="15C7645B" w14:textId="77777777" w:rsidR="00BF12C5" w:rsidRPr="00BF12C5" w:rsidRDefault="00BF12C5" w:rsidP="00BF12C5">
            <w:pPr>
              <w:spacing w:before="40" w:after="40"/>
              <w:jc w:val="center"/>
              <w:rPr>
                <w:rFonts w:ascii="Arial" w:hAnsi="Arial" w:cs="Arial"/>
                <w:b/>
                <w:sz w:val="24"/>
                <w:szCs w:val="24"/>
              </w:rPr>
            </w:pPr>
            <w:r w:rsidRPr="00BF12C5">
              <w:rPr>
                <w:rFonts w:ascii="Arial" w:hAnsi="Arial" w:cs="Arial"/>
                <w:b/>
                <w:sz w:val="24"/>
                <w:szCs w:val="24"/>
              </w:rPr>
              <w:t>Kriterien für die Abzugsfähigkeit und Angemessenheitsprüfung</w:t>
            </w:r>
          </w:p>
          <w:p w14:paraId="4957338B" w14:textId="1D61BDDE" w:rsidR="00740C0C" w:rsidRPr="00BF12C5" w:rsidRDefault="00BF12C5" w:rsidP="00BF12C5">
            <w:pPr>
              <w:spacing w:before="40" w:after="40"/>
              <w:jc w:val="center"/>
              <w:rPr>
                <w:rFonts w:ascii="Arial" w:hAnsi="Arial" w:cs="Arial"/>
                <w:bCs/>
                <w:sz w:val="24"/>
                <w:szCs w:val="24"/>
              </w:rPr>
            </w:pPr>
            <w:r w:rsidRPr="00BF12C5">
              <w:rPr>
                <w:rFonts w:ascii="Arial" w:hAnsi="Arial" w:cs="Arial"/>
                <w:b/>
                <w:sz w:val="24"/>
                <w:szCs w:val="24"/>
              </w:rPr>
              <w:t>von Betriebsausgaben für Kfz („Luxusfahrzeuge“)</w:t>
            </w:r>
          </w:p>
        </w:tc>
      </w:tr>
    </w:tbl>
    <w:p w14:paraId="741774A0" w14:textId="77777777" w:rsidR="00BF12C5" w:rsidRDefault="00BF12C5" w:rsidP="00BF12C5">
      <w:pPr>
        <w:spacing w:after="120"/>
        <w:jc w:val="both"/>
        <w:rPr>
          <w:rFonts w:ascii="Arial" w:hAnsi="Arial" w:cs="Arial"/>
        </w:rPr>
      </w:pPr>
    </w:p>
    <w:p w14:paraId="47D71064" w14:textId="31B7D29C" w:rsidR="00D143DF" w:rsidRPr="000920D6" w:rsidRDefault="00D143DF" w:rsidP="00D143DF">
      <w:pPr>
        <w:jc w:val="both"/>
        <w:rPr>
          <w:rFonts w:ascii="Arial" w:hAnsi="Arial" w:cs="Arial"/>
        </w:rPr>
      </w:pPr>
      <w:r w:rsidRPr="000920D6">
        <w:rPr>
          <w:rFonts w:ascii="Arial" w:hAnsi="Arial" w:cs="Arial"/>
        </w:rPr>
        <w:t>Speziell im Zusammenhang mit „teu</w:t>
      </w:r>
      <w:r w:rsidR="00462DF1">
        <w:rPr>
          <w:rFonts w:ascii="Arial" w:hAnsi="Arial" w:cs="Arial"/>
        </w:rPr>
        <w:t>r</w:t>
      </w:r>
      <w:r w:rsidRPr="000920D6">
        <w:rPr>
          <w:rFonts w:ascii="Arial" w:hAnsi="Arial" w:cs="Arial"/>
        </w:rPr>
        <w:t>eren“ E-Autos kann sich die Frage der Abziehbarkeit der Kosten und steuerlichen Behandlung (neu) stellen. Ein Blick in die Literatur und Rechtsprechung zeigt dazu ein differenziertes Bild und nicht alles was „teuer“ erscheint ist gleich Luxus. Die nachfolgende Checkliste soll bei der Einschätzung helfen. Vergleiche dazu auch den Literaturbeitrag von Zwirner/Krauß zur Frage „Luxusautos“ und „Supersportwagen“ im Steuerrecht: Anmerkungen zur Angemessenheitsprüfung nach § 4 Abs. 5 S</w:t>
      </w:r>
      <w:r w:rsidR="00462DF1">
        <w:rPr>
          <w:rFonts w:ascii="Arial" w:hAnsi="Arial" w:cs="Arial"/>
        </w:rPr>
        <w:t>atz</w:t>
      </w:r>
      <w:r w:rsidRPr="000920D6">
        <w:rPr>
          <w:rFonts w:ascii="Arial" w:hAnsi="Arial" w:cs="Arial"/>
        </w:rPr>
        <w:t xml:space="preserve"> 1 Nr. 7 E</w:t>
      </w:r>
      <w:r w:rsidR="00462DF1" w:rsidRPr="000920D6">
        <w:rPr>
          <w:rFonts w:ascii="Arial" w:hAnsi="Arial" w:cs="Arial"/>
        </w:rPr>
        <w:t>s</w:t>
      </w:r>
      <w:r w:rsidRPr="000920D6">
        <w:rPr>
          <w:rFonts w:ascii="Arial" w:hAnsi="Arial" w:cs="Arial"/>
        </w:rPr>
        <w:t>tG</w:t>
      </w:r>
      <w:r w:rsidR="00462DF1">
        <w:rPr>
          <w:rFonts w:ascii="Arial" w:hAnsi="Arial" w:cs="Arial"/>
        </w:rPr>
        <w:t>,</w:t>
      </w:r>
      <w:r w:rsidRPr="000920D6">
        <w:rPr>
          <w:rFonts w:ascii="Arial" w:hAnsi="Arial" w:cs="Arial"/>
        </w:rPr>
        <w:t xml:space="preserve"> in </w:t>
      </w:r>
      <w:proofErr w:type="spellStart"/>
      <w:r w:rsidRPr="000920D6">
        <w:rPr>
          <w:rFonts w:ascii="Arial" w:hAnsi="Arial" w:cs="Arial"/>
        </w:rPr>
        <w:t>DStR</w:t>
      </w:r>
      <w:proofErr w:type="spellEnd"/>
      <w:r w:rsidRPr="000920D6">
        <w:rPr>
          <w:rFonts w:ascii="Arial" w:hAnsi="Arial" w:cs="Arial"/>
        </w:rPr>
        <w:t xml:space="preserve"> 2021, S. 268 ff. </w:t>
      </w:r>
    </w:p>
    <w:p w14:paraId="209CABA4" w14:textId="77777777" w:rsidR="00AF1435" w:rsidRPr="000920D6" w:rsidRDefault="00691759" w:rsidP="00D143DF">
      <w:pPr>
        <w:jc w:val="both"/>
        <w:rPr>
          <w:rFonts w:ascii="Arial" w:hAnsi="Arial" w:cs="Arial"/>
        </w:rPr>
      </w:pPr>
      <w:r w:rsidRPr="000920D6">
        <w:rPr>
          <w:rFonts w:ascii="Arial" w:hAnsi="Arial" w:cs="Arial"/>
        </w:rPr>
        <w:t xml:space="preserve">Werden Aufwendungen für </w:t>
      </w:r>
      <w:r w:rsidR="00AF1435" w:rsidRPr="000920D6">
        <w:rPr>
          <w:rFonts w:ascii="Arial" w:hAnsi="Arial" w:cs="Arial"/>
        </w:rPr>
        <w:t xml:space="preserve">betriebliche Kfz als unangemessener </w:t>
      </w:r>
      <w:r w:rsidRPr="000920D6">
        <w:rPr>
          <w:rFonts w:ascii="Arial" w:hAnsi="Arial" w:cs="Arial"/>
        </w:rPr>
        <w:t>Repräsen</w:t>
      </w:r>
      <w:r w:rsidR="00AF1435" w:rsidRPr="000920D6">
        <w:rPr>
          <w:rFonts w:ascii="Arial" w:hAnsi="Arial" w:cs="Arial"/>
        </w:rPr>
        <w:t>t</w:t>
      </w:r>
      <w:r w:rsidRPr="000920D6">
        <w:rPr>
          <w:rFonts w:ascii="Arial" w:hAnsi="Arial" w:cs="Arial"/>
        </w:rPr>
        <w:t>ationsaufwand</w:t>
      </w:r>
      <w:r w:rsidR="00AF1435" w:rsidRPr="000920D6">
        <w:rPr>
          <w:rFonts w:ascii="Arial" w:hAnsi="Arial" w:cs="Arial"/>
        </w:rPr>
        <w:t xml:space="preserve"> </w:t>
      </w:r>
      <w:r w:rsidR="008275F6" w:rsidRPr="000920D6">
        <w:rPr>
          <w:rFonts w:ascii="Arial" w:hAnsi="Arial" w:cs="Arial"/>
        </w:rPr>
        <w:t xml:space="preserve">oder als Aufwendungen, die die Lebensführung der Betroffenen berühren, </w:t>
      </w:r>
      <w:r w:rsidRPr="000920D6">
        <w:rPr>
          <w:rFonts w:ascii="Arial" w:hAnsi="Arial" w:cs="Arial"/>
        </w:rPr>
        <w:t xml:space="preserve">eingestuft, </w:t>
      </w:r>
      <w:r w:rsidR="00AF1435" w:rsidRPr="000920D6">
        <w:rPr>
          <w:rFonts w:ascii="Arial" w:hAnsi="Arial" w:cs="Arial"/>
        </w:rPr>
        <w:t>dann folgt</w:t>
      </w:r>
    </w:p>
    <w:p w14:paraId="357167DA" w14:textId="77777777" w:rsidR="00691759" w:rsidRPr="000920D6" w:rsidRDefault="00AF1435" w:rsidP="00462DF1">
      <w:pPr>
        <w:pStyle w:val="Listenabsatz"/>
        <w:numPr>
          <w:ilvl w:val="0"/>
          <w:numId w:val="6"/>
        </w:numPr>
        <w:jc w:val="both"/>
        <w:rPr>
          <w:rFonts w:ascii="Arial" w:hAnsi="Arial" w:cs="Arial"/>
        </w:rPr>
      </w:pPr>
      <w:r w:rsidRPr="000920D6">
        <w:rPr>
          <w:rFonts w:ascii="Arial" w:hAnsi="Arial" w:cs="Arial"/>
        </w:rPr>
        <w:t>k</w:t>
      </w:r>
      <w:r w:rsidR="00691759" w:rsidRPr="000920D6">
        <w:rPr>
          <w:rFonts w:ascii="Arial" w:hAnsi="Arial" w:cs="Arial"/>
        </w:rPr>
        <w:t>ein Abzug als Betriebs</w:t>
      </w:r>
      <w:r w:rsidRPr="000920D6">
        <w:rPr>
          <w:rFonts w:ascii="Arial" w:hAnsi="Arial" w:cs="Arial"/>
        </w:rPr>
        <w:t>ausgabe (§ 4 Abs. 5 Satz 1 Nr. 4</w:t>
      </w:r>
      <w:r w:rsidR="00691759" w:rsidRPr="000920D6">
        <w:rPr>
          <w:rFonts w:ascii="Arial" w:hAnsi="Arial" w:cs="Arial"/>
        </w:rPr>
        <w:t xml:space="preserve"> </w:t>
      </w:r>
      <w:r w:rsidR="008275F6" w:rsidRPr="000920D6">
        <w:rPr>
          <w:rFonts w:ascii="Arial" w:hAnsi="Arial" w:cs="Arial"/>
        </w:rPr>
        <w:t xml:space="preserve">bzw. 7 </w:t>
      </w:r>
      <w:r w:rsidR="00691759" w:rsidRPr="000920D6">
        <w:rPr>
          <w:rFonts w:ascii="Arial" w:hAnsi="Arial" w:cs="Arial"/>
        </w:rPr>
        <w:t>EStG</w:t>
      </w:r>
      <w:r w:rsidR="008275F6" w:rsidRPr="000920D6">
        <w:rPr>
          <w:rFonts w:ascii="Arial" w:hAnsi="Arial" w:cs="Arial"/>
        </w:rPr>
        <w:t>; § 12 Abs. 1 EStG</w:t>
      </w:r>
      <w:r w:rsidRPr="000920D6">
        <w:rPr>
          <w:rFonts w:ascii="Arial" w:hAnsi="Arial" w:cs="Arial"/>
        </w:rPr>
        <w:t>)</w:t>
      </w:r>
    </w:p>
    <w:p w14:paraId="5AA9F5A7" w14:textId="77777777" w:rsidR="008275F6" w:rsidRPr="000920D6" w:rsidRDefault="008275F6" w:rsidP="00462DF1">
      <w:pPr>
        <w:pStyle w:val="Listenabsatz"/>
        <w:numPr>
          <w:ilvl w:val="0"/>
          <w:numId w:val="6"/>
        </w:numPr>
        <w:jc w:val="both"/>
        <w:rPr>
          <w:rFonts w:ascii="Arial" w:hAnsi="Arial" w:cs="Arial"/>
        </w:rPr>
      </w:pPr>
      <w:r w:rsidRPr="000920D6">
        <w:rPr>
          <w:rFonts w:ascii="Arial" w:hAnsi="Arial" w:cs="Arial"/>
        </w:rPr>
        <w:t xml:space="preserve">kein Vorsteuerabzug (§ 15 Abs. 1a UStG </w:t>
      </w:r>
      <w:proofErr w:type="spellStart"/>
      <w:r w:rsidRPr="000920D6">
        <w:rPr>
          <w:rFonts w:ascii="Arial" w:hAnsi="Arial" w:cs="Arial"/>
        </w:rPr>
        <w:t>i.V.m</w:t>
      </w:r>
      <w:proofErr w:type="spellEnd"/>
      <w:r w:rsidRPr="000920D6">
        <w:rPr>
          <w:rFonts w:ascii="Arial" w:hAnsi="Arial" w:cs="Arial"/>
        </w:rPr>
        <w:t>. § 4 Abs. 5 Satz 1 Nr. 4 bzw. 7 EStG; § 12 Abs. 1 EStG).</w:t>
      </w:r>
    </w:p>
    <w:p w14:paraId="4541F13E" w14:textId="7D254709" w:rsidR="00DD285A" w:rsidRPr="00462DF1" w:rsidRDefault="00462DF1" w:rsidP="00462DF1">
      <w:pPr>
        <w:pStyle w:val="Listenabsatz"/>
        <w:numPr>
          <w:ilvl w:val="0"/>
          <w:numId w:val="6"/>
        </w:numPr>
        <w:jc w:val="both"/>
        <w:rPr>
          <w:rFonts w:ascii="Arial" w:hAnsi="Arial" w:cs="Arial"/>
        </w:rPr>
      </w:pPr>
      <w:r>
        <w:rPr>
          <w:rFonts w:ascii="Arial" w:hAnsi="Arial" w:cs="Arial"/>
        </w:rPr>
        <w:t>w</w:t>
      </w:r>
      <w:r w:rsidR="00DD285A" w:rsidRPr="000920D6">
        <w:rPr>
          <w:rFonts w:ascii="Arial" w:hAnsi="Arial" w:cs="Arial"/>
        </w:rPr>
        <w:t>eitere Rechtsprechung zu Luxus-Kfz im Betriebsvermögen: Ohne ordnungsmäßiges Fahrtenbuch ist für die Privatnutzung die volle 1%-Regel anzuwenden, auch wenn das Finanzamt die Kosten schon wegen Unangemessenheit gekürzt hat. FG München,</w:t>
      </w:r>
      <w:r>
        <w:rPr>
          <w:rFonts w:ascii="Arial" w:hAnsi="Arial" w:cs="Arial"/>
        </w:rPr>
        <w:t xml:space="preserve"> </w:t>
      </w:r>
      <w:r w:rsidRPr="000920D6">
        <w:rPr>
          <w:rFonts w:ascii="Arial" w:hAnsi="Arial" w:cs="Arial"/>
        </w:rPr>
        <w:t>Ur</w:t>
      </w:r>
      <w:r>
        <w:rPr>
          <w:rFonts w:ascii="Arial" w:hAnsi="Arial" w:cs="Arial"/>
        </w:rPr>
        <w:t>t.</w:t>
      </w:r>
      <w:r w:rsidRPr="000920D6">
        <w:rPr>
          <w:rFonts w:ascii="Arial" w:hAnsi="Arial" w:cs="Arial"/>
        </w:rPr>
        <w:t xml:space="preserve"> v</w:t>
      </w:r>
      <w:r>
        <w:rPr>
          <w:rFonts w:ascii="Arial" w:hAnsi="Arial" w:cs="Arial"/>
        </w:rPr>
        <w:t>.</w:t>
      </w:r>
      <w:r w:rsidRPr="000920D6">
        <w:rPr>
          <w:rFonts w:ascii="Arial" w:hAnsi="Arial" w:cs="Arial"/>
        </w:rPr>
        <w:t xml:space="preserve"> 09.03.2021</w:t>
      </w:r>
      <w:r>
        <w:rPr>
          <w:rFonts w:ascii="Arial" w:hAnsi="Arial" w:cs="Arial"/>
        </w:rPr>
        <w:t xml:space="preserve"> – </w:t>
      </w:r>
      <w:r w:rsidR="00DD285A" w:rsidRPr="00462DF1">
        <w:rPr>
          <w:rFonts w:ascii="Arial" w:hAnsi="Arial" w:cs="Arial"/>
        </w:rPr>
        <w:t>6-K-2915/17; Rev</w:t>
      </w:r>
      <w:r>
        <w:rPr>
          <w:rFonts w:ascii="Arial" w:hAnsi="Arial" w:cs="Arial"/>
        </w:rPr>
        <w:t>.</w:t>
      </w:r>
      <w:r w:rsidR="00DD285A" w:rsidRPr="00462DF1">
        <w:rPr>
          <w:rFonts w:ascii="Arial" w:hAnsi="Arial" w:cs="Arial"/>
        </w:rPr>
        <w:t xml:space="preserve"> </w:t>
      </w:r>
      <w:r>
        <w:rPr>
          <w:rFonts w:ascii="Arial" w:hAnsi="Arial" w:cs="Arial"/>
        </w:rPr>
        <w:t>e</w:t>
      </w:r>
      <w:r w:rsidR="00DD285A" w:rsidRPr="00462DF1">
        <w:rPr>
          <w:rFonts w:ascii="Arial" w:hAnsi="Arial" w:cs="Arial"/>
        </w:rPr>
        <w:t>ingelegt</w:t>
      </w:r>
      <w:r>
        <w:rPr>
          <w:rFonts w:ascii="Arial" w:hAnsi="Arial" w:cs="Arial"/>
        </w:rPr>
        <w:t>:</w:t>
      </w:r>
      <w:r w:rsidR="00DD285A" w:rsidRPr="00462DF1">
        <w:rPr>
          <w:rFonts w:ascii="Arial" w:hAnsi="Arial" w:cs="Arial"/>
        </w:rPr>
        <w:t xml:space="preserve"> BFH </w:t>
      </w:r>
      <w:r>
        <w:rPr>
          <w:rFonts w:ascii="Arial" w:hAnsi="Arial" w:cs="Arial"/>
        </w:rPr>
        <w:t xml:space="preserve">– </w:t>
      </w:r>
      <w:r w:rsidR="00DD285A" w:rsidRPr="00462DF1">
        <w:rPr>
          <w:rFonts w:ascii="Arial" w:hAnsi="Arial" w:cs="Arial"/>
        </w:rPr>
        <w:t>VIII R 12/21.</w:t>
      </w:r>
    </w:p>
    <w:p w14:paraId="0DD0AEBE" w14:textId="77777777" w:rsidR="008275F6" w:rsidRPr="000920D6" w:rsidRDefault="008275F6" w:rsidP="00D143DF">
      <w:pPr>
        <w:jc w:val="both"/>
        <w:rPr>
          <w:rFonts w:ascii="Arial" w:hAnsi="Arial" w:cs="Arial"/>
        </w:rPr>
      </w:pPr>
      <w:r w:rsidRPr="000920D6">
        <w:rPr>
          <w:rFonts w:ascii="Arial" w:hAnsi="Arial" w:cs="Arial"/>
        </w:rPr>
        <w:t>Es ist also zu prüfen:</w:t>
      </w:r>
    </w:p>
    <w:p w14:paraId="19CC72FC" w14:textId="1ED8B1A4" w:rsidR="008275F6" w:rsidRPr="000920D6" w:rsidRDefault="008275F6" w:rsidP="00462DF1">
      <w:pPr>
        <w:pStyle w:val="Listenabsatz"/>
        <w:numPr>
          <w:ilvl w:val="0"/>
          <w:numId w:val="3"/>
        </w:numPr>
        <w:ind w:left="360"/>
        <w:jc w:val="both"/>
        <w:rPr>
          <w:rFonts w:ascii="Arial" w:hAnsi="Arial" w:cs="Arial"/>
        </w:rPr>
      </w:pPr>
      <w:r w:rsidRPr="000920D6">
        <w:rPr>
          <w:rFonts w:ascii="Arial" w:hAnsi="Arial" w:cs="Arial"/>
        </w:rPr>
        <w:t>Liegt Repräsentationsaufwand i.S.v</w:t>
      </w:r>
      <w:r w:rsidR="00462DF1">
        <w:rPr>
          <w:rFonts w:ascii="Arial" w:hAnsi="Arial" w:cs="Arial"/>
        </w:rPr>
        <w:t>.</w:t>
      </w:r>
      <w:r w:rsidRPr="000920D6">
        <w:rPr>
          <w:rFonts w:ascii="Arial" w:hAnsi="Arial" w:cs="Arial"/>
        </w:rPr>
        <w:t xml:space="preserve"> § 4 Abs. 5 Satz 1 Nr. 4 EStG vor.</w:t>
      </w:r>
      <w:r w:rsidR="00462DF1">
        <w:rPr>
          <w:rFonts w:ascii="Arial" w:hAnsi="Arial" w:cs="Arial"/>
        </w:rPr>
        <w:t xml:space="preserve"> Das heißt: E</w:t>
      </w:r>
      <w:r w:rsidRPr="000920D6">
        <w:rPr>
          <w:rFonts w:ascii="Arial" w:hAnsi="Arial" w:cs="Arial"/>
        </w:rPr>
        <w:t xml:space="preserve">rfüllt das Kfz ähnliche Zwecke wie Aufwand „für Jagd oder Fischerei, für Segeljachten und Motorjachten“ und „die hiermit zusammenhängenden Bewirtungen“? </w:t>
      </w:r>
    </w:p>
    <w:p w14:paraId="5363FDB8" w14:textId="77777777" w:rsidR="008275F6" w:rsidRPr="000920D6" w:rsidRDefault="008275F6" w:rsidP="00462DF1">
      <w:pPr>
        <w:pStyle w:val="Listenabsatz"/>
        <w:ind w:left="360"/>
        <w:jc w:val="both"/>
        <w:rPr>
          <w:rFonts w:ascii="Arial" w:hAnsi="Arial" w:cs="Arial"/>
        </w:rPr>
      </w:pPr>
      <w:r w:rsidRPr="000920D6">
        <w:rPr>
          <w:rFonts w:ascii="Arial" w:hAnsi="Arial" w:cs="Arial"/>
          <w:u w:val="single"/>
        </w:rPr>
        <w:t>Wenn ja</w:t>
      </w:r>
      <w:r w:rsidRPr="000920D6">
        <w:rPr>
          <w:rFonts w:ascii="Arial" w:hAnsi="Arial" w:cs="Arial"/>
        </w:rPr>
        <w:t>: Dann sind die Kosten ohne weiteres vom Betriebsausgabenabzug und Vorsteuerabzug ausgeschlossen.</w:t>
      </w:r>
    </w:p>
    <w:p w14:paraId="3E096352" w14:textId="77777777" w:rsidR="008275F6" w:rsidRPr="000920D6" w:rsidRDefault="008275F6" w:rsidP="00462DF1">
      <w:pPr>
        <w:pStyle w:val="Listenabsatz"/>
        <w:ind w:left="360"/>
        <w:jc w:val="both"/>
        <w:rPr>
          <w:rFonts w:ascii="Arial" w:hAnsi="Arial" w:cs="Arial"/>
        </w:rPr>
      </w:pPr>
    </w:p>
    <w:p w14:paraId="093414B6" w14:textId="77777777" w:rsidR="008275F6" w:rsidRPr="000920D6" w:rsidRDefault="008275F6" w:rsidP="00462DF1">
      <w:pPr>
        <w:pStyle w:val="Listenabsatz"/>
        <w:ind w:left="360"/>
        <w:jc w:val="both"/>
        <w:rPr>
          <w:rFonts w:ascii="Arial" w:hAnsi="Arial" w:cs="Arial"/>
          <w:u w:val="single"/>
        </w:rPr>
      </w:pPr>
      <w:r w:rsidRPr="000920D6">
        <w:rPr>
          <w:rFonts w:ascii="Arial" w:hAnsi="Arial" w:cs="Arial"/>
          <w:u w:val="single"/>
        </w:rPr>
        <w:t>Oder:</w:t>
      </w:r>
    </w:p>
    <w:p w14:paraId="2E0B4E61" w14:textId="77777777" w:rsidR="008275F6" w:rsidRPr="000920D6" w:rsidRDefault="008275F6" w:rsidP="00462DF1">
      <w:pPr>
        <w:pStyle w:val="Listenabsatz"/>
        <w:numPr>
          <w:ilvl w:val="0"/>
          <w:numId w:val="3"/>
        </w:numPr>
        <w:ind w:left="360"/>
        <w:jc w:val="both"/>
        <w:rPr>
          <w:rFonts w:ascii="Arial" w:hAnsi="Arial" w:cs="Arial"/>
        </w:rPr>
      </w:pPr>
      <w:r w:rsidRPr="000920D6">
        <w:rPr>
          <w:rFonts w:ascii="Arial" w:hAnsi="Arial" w:cs="Arial"/>
        </w:rPr>
        <w:t>Berühren die Aufwendungen die „Lebensführung des Steuerpflichtigen oder anderer Personen“?</w:t>
      </w:r>
    </w:p>
    <w:p w14:paraId="02CAA4ED" w14:textId="22A5955E" w:rsidR="008275F6" w:rsidRPr="000920D6" w:rsidRDefault="008275F6" w:rsidP="00462DF1">
      <w:pPr>
        <w:pStyle w:val="Listenabsatz"/>
        <w:ind w:left="360"/>
        <w:jc w:val="both"/>
        <w:rPr>
          <w:rFonts w:ascii="Arial" w:hAnsi="Arial" w:cs="Arial"/>
        </w:rPr>
      </w:pPr>
      <w:r w:rsidRPr="000920D6">
        <w:rPr>
          <w:rFonts w:ascii="Arial" w:hAnsi="Arial" w:cs="Arial"/>
          <w:u w:val="single"/>
        </w:rPr>
        <w:t>Wenn ja</w:t>
      </w:r>
      <w:r w:rsidRPr="000920D6">
        <w:rPr>
          <w:rFonts w:ascii="Arial" w:hAnsi="Arial" w:cs="Arial"/>
        </w:rPr>
        <w:t xml:space="preserve">: </w:t>
      </w:r>
      <w:r w:rsidR="00462DF1">
        <w:rPr>
          <w:rFonts w:ascii="Arial" w:hAnsi="Arial" w:cs="Arial"/>
        </w:rPr>
        <w:t>Da</w:t>
      </w:r>
      <w:r w:rsidRPr="000920D6">
        <w:rPr>
          <w:rFonts w:ascii="Arial" w:hAnsi="Arial" w:cs="Arial"/>
        </w:rPr>
        <w:t xml:space="preserve">nn sind die Kosten nicht abziehbar </w:t>
      </w:r>
      <w:r w:rsidRPr="00462DF1">
        <w:rPr>
          <w:rFonts w:ascii="Arial" w:hAnsi="Arial" w:cs="Arial"/>
        </w:rPr>
        <w:t>„</w:t>
      </w:r>
      <w:r w:rsidRPr="000920D6">
        <w:rPr>
          <w:rFonts w:ascii="Arial" w:hAnsi="Arial" w:cs="Arial"/>
          <w:b/>
        </w:rPr>
        <w:t>soweit</w:t>
      </w:r>
      <w:r w:rsidRPr="000920D6">
        <w:rPr>
          <w:rFonts w:ascii="Arial" w:hAnsi="Arial" w:cs="Arial"/>
        </w:rPr>
        <w:t xml:space="preserve"> </w:t>
      </w:r>
      <w:r w:rsidR="00A72A96" w:rsidRPr="000920D6">
        <w:rPr>
          <w:rFonts w:ascii="Arial" w:hAnsi="Arial" w:cs="Arial"/>
        </w:rPr>
        <w:t xml:space="preserve">sie nach allgemeiner Verkehrsauffassung als </w:t>
      </w:r>
      <w:r w:rsidR="00A72A96" w:rsidRPr="000920D6">
        <w:rPr>
          <w:rFonts w:ascii="Arial" w:hAnsi="Arial" w:cs="Arial"/>
          <w:b/>
        </w:rPr>
        <w:t>unangemessen</w:t>
      </w:r>
      <w:r w:rsidR="00A72A96" w:rsidRPr="000920D6">
        <w:rPr>
          <w:rFonts w:ascii="Arial" w:hAnsi="Arial" w:cs="Arial"/>
        </w:rPr>
        <w:t xml:space="preserve"> anzusehen sind“ (§ 4 Abs. 5 Satz 1 Nr. 7 EStG).</w:t>
      </w:r>
    </w:p>
    <w:p w14:paraId="3325C8BA" w14:textId="77777777" w:rsidR="00A72A96" w:rsidRPr="000920D6" w:rsidRDefault="00A72A96" w:rsidP="00462DF1">
      <w:pPr>
        <w:pStyle w:val="Listenabsatz"/>
        <w:ind w:left="360"/>
        <w:jc w:val="both"/>
        <w:rPr>
          <w:rFonts w:ascii="Arial" w:hAnsi="Arial" w:cs="Arial"/>
        </w:rPr>
      </w:pPr>
    </w:p>
    <w:p w14:paraId="4B925CFE" w14:textId="77777777" w:rsidR="00A72A96" w:rsidRPr="000920D6" w:rsidRDefault="00A72A96" w:rsidP="00462DF1">
      <w:pPr>
        <w:pStyle w:val="Listenabsatz"/>
        <w:ind w:left="360"/>
        <w:jc w:val="both"/>
        <w:rPr>
          <w:rFonts w:ascii="Arial" w:hAnsi="Arial" w:cs="Arial"/>
          <w:u w:val="single"/>
        </w:rPr>
      </w:pPr>
      <w:r w:rsidRPr="000920D6">
        <w:rPr>
          <w:rFonts w:ascii="Arial" w:hAnsi="Arial" w:cs="Arial"/>
          <w:u w:val="single"/>
        </w:rPr>
        <w:t>Bzw.</w:t>
      </w:r>
      <w:r w:rsidRPr="00462DF1">
        <w:rPr>
          <w:rFonts w:ascii="Arial" w:hAnsi="Arial" w:cs="Arial"/>
        </w:rPr>
        <w:t>:</w:t>
      </w:r>
    </w:p>
    <w:p w14:paraId="49064973" w14:textId="77777777" w:rsidR="00A72A96" w:rsidRPr="000920D6" w:rsidRDefault="00A72A96" w:rsidP="00462DF1">
      <w:pPr>
        <w:pStyle w:val="Listenabsatz"/>
        <w:numPr>
          <w:ilvl w:val="0"/>
          <w:numId w:val="3"/>
        </w:numPr>
        <w:ind w:left="360"/>
        <w:jc w:val="both"/>
        <w:rPr>
          <w:rFonts w:ascii="Arial" w:hAnsi="Arial" w:cs="Arial"/>
        </w:rPr>
      </w:pPr>
      <w:r w:rsidRPr="000920D6">
        <w:rPr>
          <w:rFonts w:ascii="Arial" w:hAnsi="Arial" w:cs="Arial"/>
        </w:rPr>
        <w:t>Werden die Beträge „für den Haushalt des Steuerpflichtigen oder den Unterhalt seiner Familienangehörigen“ aufgewendet?</w:t>
      </w:r>
    </w:p>
    <w:p w14:paraId="113C9E11" w14:textId="4CC692B6" w:rsidR="00A72A96" w:rsidRPr="000920D6" w:rsidRDefault="00A72A96" w:rsidP="00462DF1">
      <w:pPr>
        <w:pStyle w:val="Listenabsatz"/>
        <w:ind w:left="360"/>
        <w:jc w:val="both"/>
        <w:rPr>
          <w:rFonts w:ascii="Arial" w:hAnsi="Arial" w:cs="Arial"/>
        </w:rPr>
      </w:pPr>
      <w:r w:rsidRPr="000920D6">
        <w:rPr>
          <w:rFonts w:ascii="Arial" w:hAnsi="Arial" w:cs="Arial"/>
          <w:u w:val="single"/>
        </w:rPr>
        <w:t>Wenn ja</w:t>
      </w:r>
      <w:r w:rsidRPr="000920D6">
        <w:rPr>
          <w:rFonts w:ascii="Arial" w:hAnsi="Arial" w:cs="Arial"/>
        </w:rPr>
        <w:t xml:space="preserve">: </w:t>
      </w:r>
      <w:r w:rsidR="00462DF1">
        <w:rPr>
          <w:rFonts w:ascii="Arial" w:hAnsi="Arial" w:cs="Arial"/>
        </w:rPr>
        <w:t>D</w:t>
      </w:r>
      <w:r w:rsidRPr="000920D6">
        <w:rPr>
          <w:rFonts w:ascii="Arial" w:hAnsi="Arial" w:cs="Arial"/>
        </w:rPr>
        <w:t>ann sind die Kosten von vorneherein nicht abziehbar, „auch wenn sie zur Förderung des Berufs oder der Tätigkeit des Steuerpflichtigen erfolgen“ (§ 12 Abs. 1 Nr. 1 EStG).</w:t>
      </w:r>
    </w:p>
    <w:p w14:paraId="5D88AB1F" w14:textId="77777777" w:rsidR="00A72A96" w:rsidRPr="00D143DF" w:rsidRDefault="00A72A96" w:rsidP="00D143DF">
      <w:pPr>
        <w:jc w:val="both"/>
        <w:rPr>
          <w:rFonts w:ascii="Arial" w:hAnsi="Arial" w:cs="Arial"/>
        </w:rPr>
      </w:pPr>
      <w:r w:rsidRPr="00D143DF">
        <w:rPr>
          <w:rFonts w:ascii="Arial" w:hAnsi="Arial" w:cs="Arial"/>
        </w:rPr>
        <w:t>Die Umsatzsteuer folgt jeweils der Einordnung bei der Einkommensteuer.</w:t>
      </w:r>
    </w:p>
    <w:p w14:paraId="5F199FE6" w14:textId="13012853" w:rsidR="00462DF1" w:rsidRDefault="00462DF1" w:rsidP="00A72A96">
      <w:pPr>
        <w:rPr>
          <w:rFonts w:ascii="Arial" w:hAnsi="Arial" w:cs="Arial"/>
        </w:rPr>
      </w:pPr>
      <w:r>
        <w:rPr>
          <w:rFonts w:ascii="Arial" w:hAnsi="Arial" w:cs="Arial"/>
        </w:rPr>
        <w:br w:type="page"/>
      </w:r>
    </w:p>
    <w:tbl>
      <w:tblPr>
        <w:tblStyle w:val="Tabellenraster"/>
        <w:tblW w:w="9849" w:type="dxa"/>
        <w:tblLook w:val="04A0" w:firstRow="1" w:lastRow="0" w:firstColumn="1" w:lastColumn="0" w:noHBand="0" w:noVBand="1"/>
      </w:tblPr>
      <w:tblGrid>
        <w:gridCol w:w="2258"/>
        <w:gridCol w:w="3193"/>
        <w:gridCol w:w="1684"/>
        <w:gridCol w:w="1340"/>
        <w:gridCol w:w="680"/>
        <w:gridCol w:w="694"/>
      </w:tblGrid>
      <w:tr w:rsidR="00D54DF2" w:rsidRPr="00D143DF" w14:paraId="55F01902" w14:textId="77777777" w:rsidTr="00462DF1">
        <w:tc>
          <w:tcPr>
            <w:tcW w:w="2258" w:type="dxa"/>
          </w:tcPr>
          <w:p w14:paraId="75181A03" w14:textId="77777777" w:rsidR="00691759" w:rsidRPr="008A7DE3" w:rsidRDefault="00691759" w:rsidP="00740C0C">
            <w:pPr>
              <w:spacing w:before="40" w:after="40"/>
              <w:rPr>
                <w:rFonts w:ascii="Arial" w:hAnsi="Arial" w:cs="Arial"/>
                <w:b/>
                <w:sz w:val="20"/>
                <w:szCs w:val="20"/>
              </w:rPr>
            </w:pPr>
            <w:r w:rsidRPr="008A7DE3">
              <w:rPr>
                <w:rFonts w:ascii="Arial" w:hAnsi="Arial" w:cs="Arial"/>
                <w:b/>
                <w:sz w:val="20"/>
                <w:szCs w:val="20"/>
              </w:rPr>
              <w:lastRenderedPageBreak/>
              <w:t>Kriterium</w:t>
            </w:r>
          </w:p>
        </w:tc>
        <w:tc>
          <w:tcPr>
            <w:tcW w:w="3297" w:type="dxa"/>
          </w:tcPr>
          <w:p w14:paraId="38AACEAA" w14:textId="77777777" w:rsidR="00691759" w:rsidRPr="008A7DE3" w:rsidRDefault="00691759" w:rsidP="00740C0C">
            <w:pPr>
              <w:spacing w:before="40" w:after="40"/>
              <w:rPr>
                <w:rFonts w:ascii="Arial" w:hAnsi="Arial" w:cs="Arial"/>
                <w:b/>
                <w:sz w:val="20"/>
                <w:szCs w:val="20"/>
              </w:rPr>
            </w:pPr>
            <w:r w:rsidRPr="008A7DE3">
              <w:rPr>
                <w:rFonts w:ascii="Arial" w:hAnsi="Arial" w:cs="Arial"/>
                <w:b/>
                <w:sz w:val="20"/>
                <w:szCs w:val="20"/>
              </w:rPr>
              <w:t>Beurteilung</w:t>
            </w:r>
          </w:p>
        </w:tc>
        <w:tc>
          <w:tcPr>
            <w:tcW w:w="1499" w:type="dxa"/>
          </w:tcPr>
          <w:p w14:paraId="0BC7270E" w14:textId="77777777" w:rsidR="00691759" w:rsidRPr="008A7DE3" w:rsidRDefault="00691759" w:rsidP="00740C0C">
            <w:pPr>
              <w:spacing w:before="40" w:after="40"/>
              <w:rPr>
                <w:rFonts w:ascii="Arial" w:hAnsi="Arial" w:cs="Arial"/>
                <w:b/>
                <w:sz w:val="20"/>
                <w:szCs w:val="20"/>
              </w:rPr>
            </w:pPr>
            <w:r w:rsidRPr="008A7DE3">
              <w:rPr>
                <w:rFonts w:ascii="Arial" w:hAnsi="Arial" w:cs="Arial"/>
                <w:b/>
                <w:sz w:val="20"/>
                <w:szCs w:val="20"/>
              </w:rPr>
              <w:t>Quelle</w:t>
            </w:r>
          </w:p>
        </w:tc>
        <w:tc>
          <w:tcPr>
            <w:tcW w:w="1413" w:type="dxa"/>
            <w:tcBorders>
              <w:bottom w:val="single" w:sz="4" w:space="0" w:color="auto"/>
            </w:tcBorders>
          </w:tcPr>
          <w:p w14:paraId="7231E8A6" w14:textId="2F2DE8A3" w:rsidR="00691759" w:rsidRPr="00462DF1" w:rsidRDefault="00691759" w:rsidP="00740C0C">
            <w:pPr>
              <w:spacing w:before="40" w:after="40"/>
              <w:jc w:val="center"/>
              <w:rPr>
                <w:rFonts w:ascii="Arial" w:hAnsi="Arial" w:cs="Arial"/>
                <w:b/>
                <w:sz w:val="18"/>
                <w:szCs w:val="18"/>
              </w:rPr>
            </w:pPr>
            <w:r w:rsidRPr="00462DF1">
              <w:rPr>
                <w:rFonts w:ascii="Arial" w:hAnsi="Arial" w:cs="Arial"/>
                <w:b/>
                <w:sz w:val="18"/>
                <w:szCs w:val="18"/>
              </w:rPr>
              <w:t>Eher</w:t>
            </w:r>
            <w:r w:rsidR="00462DF1">
              <w:rPr>
                <w:rFonts w:ascii="Arial" w:hAnsi="Arial" w:cs="Arial"/>
                <w:b/>
                <w:sz w:val="18"/>
                <w:szCs w:val="18"/>
              </w:rPr>
              <w:br/>
            </w:r>
            <w:r w:rsidRPr="00462DF1">
              <w:rPr>
                <w:rFonts w:ascii="Arial" w:hAnsi="Arial" w:cs="Arial"/>
                <w:b/>
                <w:sz w:val="18"/>
                <w:szCs w:val="18"/>
              </w:rPr>
              <w:t>positiv/</w:t>
            </w:r>
            <w:r w:rsidR="00462DF1">
              <w:rPr>
                <w:rFonts w:ascii="Arial" w:hAnsi="Arial" w:cs="Arial"/>
                <w:b/>
                <w:sz w:val="18"/>
                <w:szCs w:val="18"/>
              </w:rPr>
              <w:br/>
            </w:r>
            <w:r w:rsidRPr="00462DF1">
              <w:rPr>
                <w:rFonts w:ascii="Arial" w:hAnsi="Arial" w:cs="Arial"/>
                <w:b/>
                <w:sz w:val="18"/>
                <w:szCs w:val="18"/>
              </w:rPr>
              <w:t>negativ</w:t>
            </w:r>
            <w:r w:rsidR="00865880" w:rsidRPr="00462DF1">
              <w:rPr>
                <w:rFonts w:ascii="Arial" w:hAnsi="Arial" w:cs="Arial"/>
                <w:b/>
                <w:sz w:val="18"/>
                <w:szCs w:val="18"/>
              </w:rPr>
              <w:t>/</w:t>
            </w:r>
            <w:r w:rsidR="00462DF1">
              <w:rPr>
                <w:rFonts w:ascii="Arial" w:hAnsi="Arial" w:cs="Arial"/>
                <w:b/>
                <w:sz w:val="18"/>
                <w:szCs w:val="18"/>
              </w:rPr>
              <w:br/>
            </w:r>
            <w:r w:rsidR="00865880" w:rsidRPr="00462DF1">
              <w:rPr>
                <w:rFonts w:ascii="Arial" w:hAnsi="Arial" w:cs="Arial"/>
                <w:b/>
                <w:sz w:val="18"/>
                <w:szCs w:val="18"/>
              </w:rPr>
              <w:t>egal</w:t>
            </w:r>
            <w:r w:rsidR="00462DF1">
              <w:rPr>
                <w:rFonts w:ascii="Arial" w:hAnsi="Arial" w:cs="Arial"/>
                <w:b/>
                <w:sz w:val="18"/>
                <w:szCs w:val="18"/>
              </w:rPr>
              <w:br/>
            </w:r>
            <w:r w:rsidRPr="00462DF1">
              <w:rPr>
                <w:rFonts w:ascii="Arial" w:hAnsi="Arial" w:cs="Arial"/>
                <w:b/>
                <w:sz w:val="18"/>
                <w:szCs w:val="18"/>
              </w:rPr>
              <w:t>(</w:t>
            </w:r>
            <w:proofErr w:type="gramStart"/>
            <w:r w:rsidRPr="00462DF1">
              <w:rPr>
                <w:rFonts w:ascii="Arial" w:hAnsi="Arial" w:cs="Arial"/>
                <w:b/>
                <w:sz w:val="18"/>
                <w:szCs w:val="18"/>
              </w:rPr>
              <w:t>+)/</w:t>
            </w:r>
            <w:proofErr w:type="gramEnd"/>
            <w:r w:rsidRPr="00462DF1">
              <w:rPr>
                <w:rFonts w:ascii="Arial" w:hAnsi="Arial" w:cs="Arial"/>
                <w:b/>
                <w:sz w:val="18"/>
                <w:szCs w:val="18"/>
              </w:rPr>
              <w:t>(-)</w:t>
            </w:r>
            <w:r w:rsidR="00865880" w:rsidRPr="00462DF1">
              <w:rPr>
                <w:rFonts w:ascii="Arial" w:hAnsi="Arial" w:cs="Arial"/>
                <w:b/>
                <w:sz w:val="18"/>
                <w:szCs w:val="18"/>
              </w:rPr>
              <w:t>/(0)</w:t>
            </w:r>
          </w:p>
        </w:tc>
        <w:tc>
          <w:tcPr>
            <w:tcW w:w="688" w:type="dxa"/>
          </w:tcPr>
          <w:p w14:paraId="7FB71AB7" w14:textId="77777777" w:rsidR="00691759" w:rsidRPr="008A7DE3" w:rsidRDefault="00691759" w:rsidP="00740C0C">
            <w:pPr>
              <w:spacing w:before="40" w:after="40"/>
              <w:jc w:val="center"/>
              <w:rPr>
                <w:rFonts w:ascii="Arial" w:hAnsi="Arial" w:cs="Arial"/>
                <w:b/>
                <w:sz w:val="20"/>
                <w:szCs w:val="20"/>
              </w:rPr>
            </w:pPr>
            <w:r w:rsidRPr="008A7DE3">
              <w:rPr>
                <w:rFonts w:ascii="Arial" w:hAnsi="Arial" w:cs="Arial"/>
                <w:b/>
                <w:sz w:val="20"/>
                <w:szCs w:val="20"/>
              </w:rPr>
              <w:t>liegt vor</w:t>
            </w:r>
          </w:p>
        </w:tc>
        <w:tc>
          <w:tcPr>
            <w:tcW w:w="694" w:type="dxa"/>
          </w:tcPr>
          <w:p w14:paraId="2E88ECC5" w14:textId="77777777" w:rsidR="00691759" w:rsidRPr="008A7DE3" w:rsidRDefault="00691759" w:rsidP="00740C0C">
            <w:pPr>
              <w:spacing w:before="40" w:after="40"/>
              <w:jc w:val="center"/>
              <w:rPr>
                <w:rFonts w:ascii="Arial" w:hAnsi="Arial" w:cs="Arial"/>
                <w:b/>
                <w:sz w:val="20"/>
                <w:szCs w:val="20"/>
              </w:rPr>
            </w:pPr>
            <w:r w:rsidRPr="008A7DE3">
              <w:rPr>
                <w:rFonts w:ascii="Arial" w:hAnsi="Arial" w:cs="Arial"/>
                <w:b/>
                <w:sz w:val="20"/>
                <w:szCs w:val="20"/>
              </w:rPr>
              <w:t>liegt nicht vor</w:t>
            </w:r>
          </w:p>
        </w:tc>
      </w:tr>
      <w:tr w:rsidR="00BD4878" w:rsidRPr="00D143DF" w14:paraId="1125BAA6" w14:textId="77777777" w:rsidTr="00462DF1">
        <w:tc>
          <w:tcPr>
            <w:tcW w:w="2258" w:type="dxa"/>
          </w:tcPr>
          <w:p w14:paraId="76FC3A97" w14:textId="77777777" w:rsidR="00BD4878" w:rsidRPr="00D143DF" w:rsidRDefault="00BD4878" w:rsidP="00740C0C">
            <w:pPr>
              <w:spacing w:before="40" w:after="40"/>
              <w:rPr>
                <w:rFonts w:ascii="Arial" w:hAnsi="Arial" w:cs="Arial"/>
                <w:sz w:val="18"/>
                <w:szCs w:val="18"/>
              </w:rPr>
            </w:pPr>
            <w:r w:rsidRPr="00D143DF">
              <w:rPr>
                <w:rFonts w:ascii="Arial" w:hAnsi="Arial" w:cs="Arial"/>
                <w:sz w:val="18"/>
                <w:szCs w:val="18"/>
              </w:rPr>
              <w:t>Grundsatzurteil:</w:t>
            </w:r>
          </w:p>
          <w:p w14:paraId="45609D07" w14:textId="77777777" w:rsidR="00BD4878" w:rsidRPr="00D143DF" w:rsidRDefault="00BD4878" w:rsidP="00740C0C">
            <w:pPr>
              <w:spacing w:before="40" w:after="40"/>
              <w:rPr>
                <w:rFonts w:ascii="Arial" w:hAnsi="Arial" w:cs="Arial"/>
                <w:sz w:val="18"/>
                <w:szCs w:val="18"/>
              </w:rPr>
            </w:pPr>
          </w:p>
          <w:p w14:paraId="2674FE38" w14:textId="77777777" w:rsidR="00BD4878" w:rsidRPr="00D143DF" w:rsidRDefault="00BD4878" w:rsidP="00740C0C">
            <w:pPr>
              <w:spacing w:before="40" w:after="40"/>
              <w:rPr>
                <w:rFonts w:ascii="Arial" w:hAnsi="Arial" w:cs="Arial"/>
                <w:sz w:val="18"/>
                <w:szCs w:val="18"/>
              </w:rPr>
            </w:pPr>
            <w:r w:rsidRPr="00D143DF">
              <w:rPr>
                <w:rFonts w:ascii="Arial" w:hAnsi="Arial" w:cs="Arial"/>
                <w:sz w:val="18"/>
                <w:szCs w:val="18"/>
              </w:rPr>
              <w:t>Beurteilungskriterien für die Angemessenheit</w:t>
            </w:r>
          </w:p>
          <w:p w14:paraId="71497AAA" w14:textId="77777777" w:rsidR="00BD4878" w:rsidRPr="00D143DF" w:rsidRDefault="00BD4878" w:rsidP="00740C0C">
            <w:pPr>
              <w:spacing w:before="40" w:after="40"/>
              <w:rPr>
                <w:rFonts w:ascii="Arial" w:hAnsi="Arial" w:cs="Arial"/>
                <w:sz w:val="18"/>
                <w:szCs w:val="18"/>
              </w:rPr>
            </w:pPr>
          </w:p>
          <w:p w14:paraId="2AF3C12C" w14:textId="77777777" w:rsidR="00BD4878" w:rsidRPr="00D143DF" w:rsidRDefault="00BD4878" w:rsidP="00740C0C">
            <w:pPr>
              <w:spacing w:before="40" w:after="40"/>
              <w:rPr>
                <w:rFonts w:ascii="Arial" w:hAnsi="Arial" w:cs="Arial"/>
                <w:sz w:val="18"/>
                <w:szCs w:val="18"/>
              </w:rPr>
            </w:pPr>
          </w:p>
          <w:p w14:paraId="644680BC" w14:textId="77777777" w:rsidR="00BD4878" w:rsidRPr="00D143DF" w:rsidRDefault="00BD4878" w:rsidP="00740C0C">
            <w:pPr>
              <w:spacing w:before="40" w:after="40"/>
              <w:rPr>
                <w:rFonts w:ascii="Arial" w:hAnsi="Arial" w:cs="Arial"/>
                <w:sz w:val="18"/>
                <w:szCs w:val="18"/>
              </w:rPr>
            </w:pPr>
          </w:p>
          <w:p w14:paraId="7FC59EA2" w14:textId="77777777" w:rsidR="00BD4878" w:rsidRPr="00D143DF" w:rsidRDefault="00BD4878" w:rsidP="00740C0C">
            <w:pPr>
              <w:spacing w:before="40" w:after="40"/>
              <w:rPr>
                <w:rFonts w:ascii="Arial" w:hAnsi="Arial" w:cs="Arial"/>
                <w:sz w:val="18"/>
                <w:szCs w:val="18"/>
              </w:rPr>
            </w:pPr>
            <w:r w:rsidRPr="00D143DF">
              <w:rPr>
                <w:rFonts w:ascii="Arial" w:hAnsi="Arial" w:cs="Arial"/>
                <w:sz w:val="18"/>
                <w:szCs w:val="18"/>
              </w:rPr>
              <w:t>(im Urteilsfall ging es um Orientteppiche im Büro)</w:t>
            </w:r>
          </w:p>
        </w:tc>
        <w:tc>
          <w:tcPr>
            <w:tcW w:w="3297" w:type="dxa"/>
          </w:tcPr>
          <w:p w14:paraId="5B63B419" w14:textId="3F3CD589" w:rsidR="00BD4878" w:rsidRPr="00D143DF" w:rsidRDefault="00BD4878" w:rsidP="00740C0C">
            <w:pPr>
              <w:spacing w:before="40" w:after="40"/>
              <w:rPr>
                <w:rFonts w:ascii="Arial" w:hAnsi="Arial" w:cs="Arial"/>
                <w:sz w:val="18"/>
                <w:szCs w:val="18"/>
              </w:rPr>
            </w:pPr>
            <w:r w:rsidRPr="00D143DF">
              <w:rPr>
                <w:rFonts w:ascii="Arial" w:hAnsi="Arial" w:cs="Arial"/>
                <w:sz w:val="18"/>
                <w:szCs w:val="18"/>
              </w:rPr>
              <w:t xml:space="preserve">Bei der Prüfung der Angemessenheit von Aufwendungen </w:t>
            </w:r>
            <w:proofErr w:type="spellStart"/>
            <w:r w:rsidRPr="00D143DF">
              <w:rPr>
                <w:rFonts w:ascii="Arial" w:hAnsi="Arial" w:cs="Arial"/>
                <w:sz w:val="18"/>
                <w:szCs w:val="18"/>
              </w:rPr>
              <w:t>i.S.d</w:t>
            </w:r>
            <w:proofErr w:type="spellEnd"/>
            <w:r w:rsidR="00462DF1">
              <w:rPr>
                <w:rFonts w:ascii="Arial" w:hAnsi="Arial" w:cs="Arial"/>
                <w:sz w:val="18"/>
                <w:szCs w:val="18"/>
              </w:rPr>
              <w:t>.</w:t>
            </w:r>
            <w:r w:rsidRPr="00D143DF">
              <w:rPr>
                <w:rFonts w:ascii="Arial" w:hAnsi="Arial" w:cs="Arial"/>
                <w:sz w:val="18"/>
                <w:szCs w:val="18"/>
              </w:rPr>
              <w:t xml:space="preserve"> § 4 Abs. 5 Nr. </w:t>
            </w:r>
            <w:r w:rsidRPr="00D143DF">
              <w:rPr>
                <w:rFonts w:ascii="Arial" w:hAnsi="Arial" w:cs="Arial"/>
                <w:sz w:val="18"/>
                <w:szCs w:val="18"/>
                <w:highlight w:val="yellow"/>
              </w:rPr>
              <w:t>7</w:t>
            </w:r>
            <w:r w:rsidRPr="00D143DF">
              <w:rPr>
                <w:rFonts w:ascii="Arial" w:hAnsi="Arial" w:cs="Arial"/>
                <w:sz w:val="18"/>
                <w:szCs w:val="18"/>
              </w:rPr>
              <w:t xml:space="preserve"> EStG sind neben der </w:t>
            </w:r>
          </w:p>
          <w:p w14:paraId="1B00F7AE" w14:textId="77777777" w:rsidR="00BD4878" w:rsidRPr="00D143DF" w:rsidRDefault="00BD4878" w:rsidP="00740C0C">
            <w:pPr>
              <w:pStyle w:val="Listenabsatz"/>
              <w:numPr>
                <w:ilvl w:val="0"/>
                <w:numId w:val="4"/>
              </w:numPr>
              <w:spacing w:before="40" w:after="40"/>
              <w:rPr>
                <w:rFonts w:ascii="Arial" w:hAnsi="Arial" w:cs="Arial"/>
                <w:sz w:val="18"/>
                <w:szCs w:val="18"/>
              </w:rPr>
            </w:pPr>
            <w:r w:rsidRPr="00D143DF">
              <w:rPr>
                <w:rFonts w:ascii="Arial" w:hAnsi="Arial" w:cs="Arial"/>
                <w:b/>
                <w:sz w:val="18"/>
                <w:szCs w:val="18"/>
              </w:rPr>
              <w:t>Größe des Unternehmens</w:t>
            </w:r>
            <w:r w:rsidRPr="00D143DF">
              <w:rPr>
                <w:rFonts w:ascii="Arial" w:hAnsi="Arial" w:cs="Arial"/>
                <w:sz w:val="18"/>
                <w:szCs w:val="18"/>
              </w:rPr>
              <w:t xml:space="preserve"> und der </w:t>
            </w:r>
          </w:p>
          <w:p w14:paraId="0F2A8476" w14:textId="77777777" w:rsidR="00BD4878" w:rsidRPr="00D143DF" w:rsidRDefault="00BD4878" w:rsidP="00740C0C">
            <w:pPr>
              <w:pStyle w:val="Listenabsatz"/>
              <w:numPr>
                <w:ilvl w:val="0"/>
                <w:numId w:val="4"/>
              </w:numPr>
              <w:spacing w:before="40" w:after="40"/>
              <w:rPr>
                <w:rFonts w:ascii="Arial" w:hAnsi="Arial" w:cs="Arial"/>
                <w:sz w:val="18"/>
                <w:szCs w:val="18"/>
              </w:rPr>
            </w:pPr>
            <w:r w:rsidRPr="00D143DF">
              <w:rPr>
                <w:rFonts w:ascii="Arial" w:hAnsi="Arial" w:cs="Arial"/>
                <w:b/>
                <w:sz w:val="18"/>
                <w:szCs w:val="18"/>
              </w:rPr>
              <w:t>Höhe von Umsatz und Gewinn</w:t>
            </w:r>
            <w:r w:rsidRPr="00D143DF">
              <w:rPr>
                <w:rFonts w:ascii="Arial" w:hAnsi="Arial" w:cs="Arial"/>
                <w:sz w:val="18"/>
                <w:szCs w:val="18"/>
              </w:rPr>
              <w:t xml:space="preserve"> vor allem die</w:t>
            </w:r>
          </w:p>
          <w:p w14:paraId="6D2869D2" w14:textId="6C514922" w:rsidR="00BD4878" w:rsidRPr="00D143DF" w:rsidRDefault="00BD4878" w:rsidP="00740C0C">
            <w:pPr>
              <w:pStyle w:val="Listenabsatz"/>
              <w:numPr>
                <w:ilvl w:val="0"/>
                <w:numId w:val="4"/>
              </w:numPr>
              <w:spacing w:before="40" w:after="40"/>
              <w:rPr>
                <w:rFonts w:ascii="Arial" w:hAnsi="Arial" w:cs="Arial"/>
                <w:sz w:val="18"/>
                <w:szCs w:val="18"/>
              </w:rPr>
            </w:pPr>
            <w:r w:rsidRPr="00D143DF">
              <w:rPr>
                <w:rFonts w:ascii="Arial" w:hAnsi="Arial" w:cs="Arial"/>
                <w:b/>
                <w:sz w:val="18"/>
                <w:szCs w:val="18"/>
              </w:rPr>
              <w:t>Bedeutung des Repräsentationsaufwandes für den Geschäftserfolg</w:t>
            </w:r>
            <w:r w:rsidRPr="00D143DF">
              <w:rPr>
                <w:rFonts w:ascii="Arial" w:hAnsi="Arial" w:cs="Arial"/>
                <w:sz w:val="18"/>
                <w:szCs w:val="18"/>
              </w:rPr>
              <w:t xml:space="preserve"> </w:t>
            </w:r>
          </w:p>
          <w:p w14:paraId="42709E04" w14:textId="77777777" w:rsidR="001E7369" w:rsidRPr="00D143DF" w:rsidRDefault="00BD4878" w:rsidP="00740C0C">
            <w:pPr>
              <w:spacing w:before="40" w:after="40"/>
              <w:rPr>
                <w:rFonts w:ascii="Arial" w:hAnsi="Arial" w:cs="Arial"/>
                <w:sz w:val="18"/>
                <w:szCs w:val="18"/>
              </w:rPr>
            </w:pPr>
            <w:r w:rsidRPr="00D143DF">
              <w:rPr>
                <w:rFonts w:ascii="Arial" w:hAnsi="Arial" w:cs="Arial"/>
                <w:sz w:val="18"/>
                <w:szCs w:val="18"/>
              </w:rPr>
              <w:t>als Beurteilungskriterien heranzuziehen.</w:t>
            </w:r>
          </w:p>
        </w:tc>
        <w:tc>
          <w:tcPr>
            <w:tcW w:w="1499" w:type="dxa"/>
          </w:tcPr>
          <w:p w14:paraId="756ADBB0" w14:textId="05226927" w:rsidR="00BD4878" w:rsidRPr="00D143DF" w:rsidRDefault="00BD4878" w:rsidP="00740C0C">
            <w:pPr>
              <w:spacing w:before="40" w:after="40"/>
              <w:rPr>
                <w:rFonts w:ascii="Arial" w:hAnsi="Arial" w:cs="Arial"/>
                <w:sz w:val="18"/>
                <w:szCs w:val="18"/>
              </w:rPr>
            </w:pPr>
            <w:r w:rsidRPr="00D143DF">
              <w:rPr>
                <w:rFonts w:ascii="Arial" w:hAnsi="Arial" w:cs="Arial"/>
                <w:sz w:val="18"/>
                <w:szCs w:val="18"/>
              </w:rPr>
              <w:t>BFH</w:t>
            </w:r>
            <w:r w:rsidR="00462DF1">
              <w:rPr>
                <w:rFonts w:ascii="Arial" w:hAnsi="Arial" w:cs="Arial"/>
                <w:sz w:val="18"/>
                <w:szCs w:val="18"/>
              </w:rPr>
              <w:t xml:space="preserve">, </w:t>
            </w:r>
            <w:r w:rsidRPr="00D143DF">
              <w:rPr>
                <w:rFonts w:ascii="Arial" w:hAnsi="Arial" w:cs="Arial"/>
                <w:sz w:val="18"/>
                <w:szCs w:val="18"/>
              </w:rPr>
              <w:t>Urteil v</w:t>
            </w:r>
            <w:r w:rsidR="00462DF1">
              <w:rPr>
                <w:rFonts w:ascii="Arial" w:hAnsi="Arial" w:cs="Arial"/>
                <w:sz w:val="18"/>
                <w:szCs w:val="18"/>
              </w:rPr>
              <w:t>.</w:t>
            </w:r>
            <w:r w:rsidRPr="00D143DF">
              <w:rPr>
                <w:rFonts w:ascii="Arial" w:hAnsi="Arial" w:cs="Arial"/>
                <w:sz w:val="18"/>
                <w:szCs w:val="18"/>
              </w:rPr>
              <w:t xml:space="preserve"> 20.</w:t>
            </w:r>
            <w:r w:rsidR="00462DF1">
              <w:rPr>
                <w:rFonts w:ascii="Arial" w:hAnsi="Arial" w:cs="Arial"/>
                <w:sz w:val="18"/>
                <w:szCs w:val="18"/>
              </w:rPr>
              <w:t>08.</w:t>
            </w:r>
            <w:r w:rsidRPr="00D143DF">
              <w:rPr>
                <w:rFonts w:ascii="Arial" w:hAnsi="Arial" w:cs="Arial"/>
                <w:sz w:val="18"/>
                <w:szCs w:val="18"/>
              </w:rPr>
              <w:t xml:space="preserve">1986 </w:t>
            </w:r>
            <w:r w:rsidR="00462DF1">
              <w:rPr>
                <w:rFonts w:ascii="Arial" w:hAnsi="Arial" w:cs="Arial"/>
                <w:sz w:val="18"/>
                <w:szCs w:val="18"/>
              </w:rPr>
              <w:t xml:space="preserve">– </w:t>
            </w:r>
            <w:r w:rsidRPr="00D143DF">
              <w:rPr>
                <w:rFonts w:ascii="Arial" w:hAnsi="Arial" w:cs="Arial"/>
                <w:sz w:val="18"/>
                <w:szCs w:val="18"/>
              </w:rPr>
              <w:t xml:space="preserve">I R 80/83, </w:t>
            </w:r>
            <w:proofErr w:type="spellStart"/>
            <w:r w:rsidRPr="00D143DF">
              <w:rPr>
                <w:rFonts w:ascii="Arial" w:hAnsi="Arial" w:cs="Arial"/>
                <w:sz w:val="18"/>
                <w:szCs w:val="18"/>
              </w:rPr>
              <w:t>BStBl</w:t>
            </w:r>
            <w:proofErr w:type="spellEnd"/>
            <w:r w:rsidRPr="00D143DF">
              <w:rPr>
                <w:rFonts w:ascii="Arial" w:hAnsi="Arial" w:cs="Arial"/>
                <w:sz w:val="18"/>
                <w:szCs w:val="18"/>
              </w:rPr>
              <w:t xml:space="preserve"> II 1986, 904</w:t>
            </w:r>
          </w:p>
        </w:tc>
        <w:tc>
          <w:tcPr>
            <w:tcW w:w="1413" w:type="dxa"/>
          </w:tcPr>
          <w:p w14:paraId="1F7ADFC8" w14:textId="77777777" w:rsidR="00BD4878" w:rsidRPr="00D143DF" w:rsidRDefault="00BD4878" w:rsidP="00740C0C">
            <w:pPr>
              <w:spacing w:before="40" w:after="40"/>
              <w:jc w:val="center"/>
              <w:rPr>
                <w:rFonts w:ascii="Arial" w:hAnsi="Arial" w:cs="Arial"/>
                <w:sz w:val="18"/>
                <w:szCs w:val="18"/>
              </w:rPr>
            </w:pPr>
          </w:p>
        </w:tc>
        <w:tc>
          <w:tcPr>
            <w:tcW w:w="688" w:type="dxa"/>
          </w:tcPr>
          <w:p w14:paraId="47E7C469" w14:textId="77777777" w:rsidR="00BD4878" w:rsidRDefault="00BD4878" w:rsidP="00740C0C">
            <w:pPr>
              <w:spacing w:before="40" w:after="40"/>
              <w:jc w:val="center"/>
              <w:rPr>
                <w:rFonts w:ascii="Arial" w:hAnsi="Arial" w:cs="Arial"/>
                <w:sz w:val="18"/>
                <w:szCs w:val="18"/>
              </w:rPr>
            </w:pPr>
          </w:p>
          <w:p w14:paraId="2166D84C" w14:textId="77777777" w:rsidR="00D143DF" w:rsidRDefault="00D143DF" w:rsidP="00740C0C">
            <w:pPr>
              <w:spacing w:before="40" w:after="40"/>
              <w:jc w:val="center"/>
              <w:rPr>
                <w:rFonts w:ascii="Arial" w:hAnsi="Arial" w:cs="Arial"/>
                <w:sz w:val="18"/>
                <w:szCs w:val="18"/>
              </w:rPr>
            </w:pPr>
          </w:p>
          <w:p w14:paraId="0184A186" w14:textId="77777777" w:rsidR="00D143DF"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bookmarkStart w:id="0" w:name="Kontrollkästchen1"/>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bookmarkEnd w:id="0"/>
          </w:p>
        </w:tc>
        <w:tc>
          <w:tcPr>
            <w:tcW w:w="694" w:type="dxa"/>
          </w:tcPr>
          <w:p w14:paraId="583530D9" w14:textId="77777777" w:rsidR="00D143DF" w:rsidRDefault="00D143DF" w:rsidP="00740C0C">
            <w:pPr>
              <w:spacing w:before="40" w:after="40"/>
              <w:jc w:val="center"/>
              <w:rPr>
                <w:rFonts w:ascii="Arial" w:hAnsi="Arial" w:cs="Arial"/>
                <w:sz w:val="18"/>
                <w:szCs w:val="18"/>
              </w:rPr>
            </w:pPr>
          </w:p>
          <w:p w14:paraId="0B9FE441" w14:textId="77777777" w:rsidR="00D143DF" w:rsidRDefault="00D143DF" w:rsidP="00740C0C">
            <w:pPr>
              <w:spacing w:before="40" w:after="40"/>
              <w:jc w:val="center"/>
              <w:rPr>
                <w:rFonts w:ascii="Arial" w:hAnsi="Arial" w:cs="Arial"/>
                <w:sz w:val="18"/>
                <w:szCs w:val="18"/>
              </w:rPr>
            </w:pPr>
          </w:p>
          <w:p w14:paraId="10045461" w14:textId="77777777" w:rsidR="00BD4878"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r>
      <w:tr w:rsidR="001E7369" w:rsidRPr="00D143DF" w14:paraId="6D15149D" w14:textId="77777777" w:rsidTr="00462DF1">
        <w:tc>
          <w:tcPr>
            <w:tcW w:w="2258" w:type="dxa"/>
          </w:tcPr>
          <w:p w14:paraId="6F7628A0" w14:textId="77777777" w:rsidR="001E7369" w:rsidRPr="00D143DF" w:rsidRDefault="001E7369" w:rsidP="00740C0C">
            <w:pPr>
              <w:spacing w:before="40" w:after="40"/>
              <w:rPr>
                <w:rFonts w:ascii="Arial" w:hAnsi="Arial" w:cs="Arial"/>
                <w:sz w:val="18"/>
                <w:szCs w:val="18"/>
              </w:rPr>
            </w:pPr>
            <w:r w:rsidRPr="00D143DF">
              <w:rPr>
                <w:rFonts w:ascii="Arial" w:hAnsi="Arial" w:cs="Arial"/>
                <w:sz w:val="18"/>
                <w:szCs w:val="18"/>
              </w:rPr>
              <w:t xml:space="preserve">Weitere „objektive“ </w:t>
            </w:r>
            <w:r w:rsidR="00263ED8" w:rsidRPr="00D143DF">
              <w:rPr>
                <w:rFonts w:ascii="Arial" w:hAnsi="Arial" w:cs="Arial"/>
                <w:sz w:val="18"/>
                <w:szCs w:val="18"/>
              </w:rPr>
              <w:t>Gründe für Rechtfertigung Mehraufwand m</w:t>
            </w:r>
            <w:r w:rsidRPr="00D143DF">
              <w:rPr>
                <w:rFonts w:ascii="Arial" w:hAnsi="Arial" w:cs="Arial"/>
                <w:sz w:val="18"/>
                <w:szCs w:val="18"/>
              </w:rPr>
              <w:t>öglich</w:t>
            </w:r>
          </w:p>
        </w:tc>
        <w:tc>
          <w:tcPr>
            <w:tcW w:w="3297" w:type="dxa"/>
          </w:tcPr>
          <w:p w14:paraId="2301766A" w14:textId="77777777" w:rsidR="001E7369" w:rsidRPr="00D143DF" w:rsidRDefault="00263ED8" w:rsidP="00740C0C">
            <w:pPr>
              <w:spacing w:before="40" w:after="40"/>
              <w:rPr>
                <w:rFonts w:ascii="Arial" w:hAnsi="Arial" w:cs="Arial"/>
                <w:sz w:val="18"/>
                <w:szCs w:val="18"/>
              </w:rPr>
            </w:pPr>
            <w:r w:rsidRPr="00D143DF">
              <w:rPr>
                <w:rFonts w:ascii="Arial" w:hAnsi="Arial" w:cs="Arial"/>
                <w:sz w:val="18"/>
                <w:szCs w:val="18"/>
              </w:rPr>
              <w:t xml:space="preserve">z.B. günstiges </w:t>
            </w:r>
            <w:r w:rsidRPr="00D143DF">
              <w:rPr>
                <w:rFonts w:ascii="Arial" w:hAnsi="Arial" w:cs="Arial"/>
                <w:b/>
                <w:sz w:val="18"/>
                <w:szCs w:val="18"/>
              </w:rPr>
              <w:t>Gegengeschäft,</w:t>
            </w:r>
            <w:r w:rsidRPr="00D143DF">
              <w:rPr>
                <w:rFonts w:ascii="Arial" w:hAnsi="Arial" w:cs="Arial"/>
                <w:sz w:val="18"/>
                <w:szCs w:val="18"/>
              </w:rPr>
              <w:t xml:space="preserve"> das ohne die Koppelung nicht zustande gekommen wäre.</w:t>
            </w:r>
          </w:p>
        </w:tc>
        <w:tc>
          <w:tcPr>
            <w:tcW w:w="1499" w:type="dxa"/>
          </w:tcPr>
          <w:p w14:paraId="0A2896C1" w14:textId="3E9CEA38" w:rsidR="001E7369" w:rsidRPr="00D143DF" w:rsidRDefault="00263ED8" w:rsidP="00740C0C">
            <w:pPr>
              <w:spacing w:before="40" w:after="40"/>
              <w:rPr>
                <w:rFonts w:ascii="Arial" w:hAnsi="Arial" w:cs="Arial"/>
                <w:sz w:val="18"/>
                <w:szCs w:val="18"/>
              </w:rPr>
            </w:pPr>
            <w:r w:rsidRPr="00D143DF">
              <w:rPr>
                <w:rFonts w:ascii="Arial" w:hAnsi="Arial" w:cs="Arial"/>
                <w:sz w:val="18"/>
                <w:szCs w:val="18"/>
              </w:rPr>
              <w:t>Vgl</w:t>
            </w:r>
            <w:r w:rsidR="00462DF1">
              <w:rPr>
                <w:rFonts w:ascii="Arial" w:hAnsi="Arial" w:cs="Arial"/>
                <w:sz w:val="18"/>
                <w:szCs w:val="18"/>
              </w:rPr>
              <w:t>.</w:t>
            </w:r>
            <w:r w:rsidRPr="00D143DF">
              <w:rPr>
                <w:rFonts w:ascii="Arial" w:hAnsi="Arial" w:cs="Arial"/>
                <w:sz w:val="18"/>
                <w:szCs w:val="18"/>
              </w:rPr>
              <w:t xml:space="preserve"> BFH</w:t>
            </w:r>
            <w:r w:rsidR="00462DF1">
              <w:rPr>
                <w:rFonts w:ascii="Arial" w:hAnsi="Arial" w:cs="Arial"/>
                <w:sz w:val="18"/>
                <w:szCs w:val="18"/>
              </w:rPr>
              <w:t>, Urt.</w:t>
            </w:r>
            <w:r w:rsidRPr="00D143DF">
              <w:rPr>
                <w:rFonts w:ascii="Arial" w:hAnsi="Arial" w:cs="Arial"/>
                <w:sz w:val="18"/>
                <w:szCs w:val="18"/>
              </w:rPr>
              <w:t xml:space="preserve"> v. 29.</w:t>
            </w:r>
            <w:r w:rsidR="00462DF1">
              <w:rPr>
                <w:rFonts w:ascii="Arial" w:hAnsi="Arial" w:cs="Arial"/>
                <w:sz w:val="18"/>
                <w:szCs w:val="18"/>
              </w:rPr>
              <w:t>0</w:t>
            </w:r>
            <w:r w:rsidRPr="00D143DF">
              <w:rPr>
                <w:rFonts w:ascii="Arial" w:hAnsi="Arial" w:cs="Arial"/>
                <w:sz w:val="18"/>
                <w:szCs w:val="18"/>
              </w:rPr>
              <w:t>4.2014</w:t>
            </w:r>
            <w:r w:rsidR="00462DF1">
              <w:rPr>
                <w:rFonts w:ascii="Arial" w:hAnsi="Arial" w:cs="Arial"/>
                <w:sz w:val="18"/>
                <w:szCs w:val="18"/>
              </w:rPr>
              <w:t xml:space="preserve"> –</w:t>
            </w:r>
            <w:r w:rsidRPr="00D143DF">
              <w:rPr>
                <w:rFonts w:ascii="Arial" w:hAnsi="Arial" w:cs="Arial"/>
                <w:sz w:val="18"/>
                <w:szCs w:val="18"/>
              </w:rPr>
              <w:t xml:space="preserve"> VIII R 20/12, </w:t>
            </w:r>
            <w:proofErr w:type="spellStart"/>
            <w:r w:rsidRPr="00D143DF">
              <w:rPr>
                <w:rFonts w:ascii="Arial" w:hAnsi="Arial" w:cs="Arial"/>
                <w:sz w:val="18"/>
                <w:szCs w:val="18"/>
              </w:rPr>
              <w:t>BStBl</w:t>
            </w:r>
            <w:proofErr w:type="spellEnd"/>
            <w:r w:rsidR="00462DF1">
              <w:rPr>
                <w:rFonts w:ascii="Arial" w:hAnsi="Arial" w:cs="Arial"/>
                <w:sz w:val="18"/>
                <w:szCs w:val="18"/>
              </w:rPr>
              <w:t xml:space="preserve"> II</w:t>
            </w:r>
            <w:r w:rsidRPr="00D143DF">
              <w:rPr>
                <w:rFonts w:ascii="Arial" w:hAnsi="Arial" w:cs="Arial"/>
                <w:sz w:val="18"/>
                <w:szCs w:val="18"/>
              </w:rPr>
              <w:t xml:space="preserve"> 2014, 679; für allgemein anwendbar erklärt durch BMF am 15.</w:t>
            </w:r>
            <w:r w:rsidR="00462DF1">
              <w:rPr>
                <w:rFonts w:ascii="Arial" w:hAnsi="Arial" w:cs="Arial"/>
                <w:sz w:val="18"/>
                <w:szCs w:val="18"/>
              </w:rPr>
              <w:t>0</w:t>
            </w:r>
            <w:r w:rsidRPr="00D143DF">
              <w:rPr>
                <w:rFonts w:ascii="Arial" w:hAnsi="Arial" w:cs="Arial"/>
                <w:sz w:val="18"/>
                <w:szCs w:val="18"/>
              </w:rPr>
              <w:t xml:space="preserve">9.2014, </w:t>
            </w:r>
            <w:proofErr w:type="spellStart"/>
            <w:r w:rsidRPr="00D143DF">
              <w:rPr>
                <w:rFonts w:ascii="Arial" w:hAnsi="Arial" w:cs="Arial"/>
                <w:sz w:val="18"/>
                <w:szCs w:val="18"/>
              </w:rPr>
              <w:t>m.w.N</w:t>
            </w:r>
            <w:proofErr w:type="spellEnd"/>
            <w:r w:rsidRPr="00D143DF">
              <w:rPr>
                <w:rFonts w:ascii="Arial" w:hAnsi="Arial" w:cs="Arial"/>
                <w:sz w:val="18"/>
                <w:szCs w:val="18"/>
              </w:rPr>
              <w:t xml:space="preserve">. (Urteilsquellen) in </w:t>
            </w:r>
            <w:proofErr w:type="spellStart"/>
            <w:r w:rsidRPr="00D143DF">
              <w:rPr>
                <w:rFonts w:ascii="Arial" w:hAnsi="Arial" w:cs="Arial"/>
                <w:sz w:val="18"/>
                <w:szCs w:val="18"/>
              </w:rPr>
              <w:t>Rz</w:t>
            </w:r>
            <w:proofErr w:type="spellEnd"/>
            <w:r w:rsidRPr="00D143DF">
              <w:rPr>
                <w:rFonts w:ascii="Arial" w:hAnsi="Arial" w:cs="Arial"/>
                <w:sz w:val="18"/>
                <w:szCs w:val="18"/>
              </w:rPr>
              <w:t>. 28</w:t>
            </w:r>
          </w:p>
        </w:tc>
        <w:tc>
          <w:tcPr>
            <w:tcW w:w="1413" w:type="dxa"/>
          </w:tcPr>
          <w:p w14:paraId="522C2036" w14:textId="77777777" w:rsidR="001E7369" w:rsidRPr="00D143DF" w:rsidRDefault="001E7369" w:rsidP="00740C0C">
            <w:pPr>
              <w:spacing w:before="40" w:after="40"/>
              <w:jc w:val="center"/>
              <w:rPr>
                <w:rFonts w:ascii="Arial" w:hAnsi="Arial" w:cs="Arial"/>
                <w:sz w:val="18"/>
                <w:szCs w:val="18"/>
              </w:rPr>
            </w:pPr>
          </w:p>
        </w:tc>
        <w:tc>
          <w:tcPr>
            <w:tcW w:w="688" w:type="dxa"/>
          </w:tcPr>
          <w:p w14:paraId="01DC9701" w14:textId="77777777" w:rsidR="00D143DF" w:rsidRDefault="00D143DF" w:rsidP="00740C0C">
            <w:pPr>
              <w:spacing w:before="40" w:after="40"/>
              <w:jc w:val="center"/>
              <w:rPr>
                <w:rFonts w:ascii="Arial" w:hAnsi="Arial" w:cs="Arial"/>
                <w:sz w:val="18"/>
                <w:szCs w:val="18"/>
              </w:rPr>
            </w:pPr>
          </w:p>
          <w:p w14:paraId="0699BD9C" w14:textId="77777777" w:rsidR="00D143DF" w:rsidRDefault="00D143DF" w:rsidP="00740C0C">
            <w:pPr>
              <w:spacing w:before="40" w:after="40"/>
              <w:jc w:val="center"/>
              <w:rPr>
                <w:rFonts w:ascii="Arial" w:hAnsi="Arial" w:cs="Arial"/>
                <w:sz w:val="18"/>
                <w:szCs w:val="18"/>
              </w:rPr>
            </w:pPr>
          </w:p>
          <w:p w14:paraId="530BBEA6" w14:textId="77777777" w:rsidR="001E7369"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c>
          <w:tcPr>
            <w:tcW w:w="694" w:type="dxa"/>
          </w:tcPr>
          <w:p w14:paraId="049DC0E3" w14:textId="77777777" w:rsidR="00D143DF" w:rsidRDefault="00D143DF" w:rsidP="00740C0C">
            <w:pPr>
              <w:spacing w:before="40" w:after="40"/>
              <w:jc w:val="center"/>
              <w:rPr>
                <w:rFonts w:ascii="Arial" w:hAnsi="Arial" w:cs="Arial"/>
                <w:sz w:val="18"/>
                <w:szCs w:val="18"/>
              </w:rPr>
            </w:pPr>
          </w:p>
          <w:p w14:paraId="32FD7FCF" w14:textId="77777777" w:rsidR="00D143DF" w:rsidRDefault="00D143DF" w:rsidP="00740C0C">
            <w:pPr>
              <w:spacing w:before="40" w:after="40"/>
              <w:jc w:val="center"/>
              <w:rPr>
                <w:rFonts w:ascii="Arial" w:hAnsi="Arial" w:cs="Arial"/>
                <w:sz w:val="18"/>
                <w:szCs w:val="18"/>
              </w:rPr>
            </w:pPr>
          </w:p>
          <w:p w14:paraId="421CFCA5" w14:textId="77777777" w:rsidR="001E7369"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r>
      <w:tr w:rsidR="00BD4878" w:rsidRPr="00D143DF" w14:paraId="7E555743" w14:textId="77777777" w:rsidTr="00462DF1">
        <w:tc>
          <w:tcPr>
            <w:tcW w:w="2258" w:type="dxa"/>
          </w:tcPr>
          <w:p w14:paraId="5CC4C099" w14:textId="77777777" w:rsidR="00BD4878" w:rsidRPr="00D143DF" w:rsidRDefault="00BD4878" w:rsidP="00740C0C">
            <w:pPr>
              <w:spacing w:before="40" w:after="40"/>
              <w:rPr>
                <w:rFonts w:ascii="Arial" w:hAnsi="Arial" w:cs="Arial"/>
                <w:sz w:val="18"/>
                <w:szCs w:val="18"/>
              </w:rPr>
            </w:pPr>
            <w:r w:rsidRPr="00D143DF">
              <w:rPr>
                <w:rFonts w:ascii="Arial" w:hAnsi="Arial" w:cs="Arial"/>
                <w:sz w:val="18"/>
                <w:szCs w:val="18"/>
              </w:rPr>
              <w:t xml:space="preserve">Grundsatzurteil: </w:t>
            </w:r>
          </w:p>
          <w:p w14:paraId="031D8746" w14:textId="77777777" w:rsidR="00BD4878" w:rsidRPr="00D143DF" w:rsidRDefault="00BD4878" w:rsidP="00740C0C">
            <w:pPr>
              <w:spacing w:before="40" w:after="40"/>
              <w:rPr>
                <w:rFonts w:ascii="Arial" w:hAnsi="Arial" w:cs="Arial"/>
                <w:sz w:val="18"/>
                <w:szCs w:val="18"/>
              </w:rPr>
            </w:pPr>
          </w:p>
          <w:p w14:paraId="1EDB4C2B" w14:textId="541ACD01" w:rsidR="00BA0103" w:rsidRPr="00D143DF" w:rsidRDefault="00BA0103" w:rsidP="00740C0C">
            <w:pPr>
              <w:spacing w:before="40" w:after="40"/>
              <w:rPr>
                <w:rFonts w:ascii="Arial" w:hAnsi="Arial" w:cs="Arial"/>
                <w:sz w:val="18"/>
                <w:szCs w:val="18"/>
              </w:rPr>
            </w:pPr>
            <w:r w:rsidRPr="00D143DF">
              <w:rPr>
                <w:rFonts w:ascii="Arial" w:hAnsi="Arial" w:cs="Arial"/>
                <w:sz w:val="18"/>
                <w:szCs w:val="18"/>
              </w:rPr>
              <w:t>Maßstab für die Angemessenheitsprüfung und Folgen bei Unangemessenheit</w:t>
            </w:r>
          </w:p>
          <w:p w14:paraId="5E05C8E4" w14:textId="77777777" w:rsidR="00BA0103" w:rsidRPr="00D143DF" w:rsidRDefault="00BA0103" w:rsidP="00740C0C">
            <w:pPr>
              <w:spacing w:before="40" w:after="40"/>
              <w:rPr>
                <w:rFonts w:ascii="Arial" w:hAnsi="Arial" w:cs="Arial"/>
                <w:sz w:val="18"/>
                <w:szCs w:val="18"/>
              </w:rPr>
            </w:pPr>
          </w:p>
          <w:p w14:paraId="1EF8B74F" w14:textId="77777777" w:rsidR="00BA0103" w:rsidRPr="00D143DF" w:rsidRDefault="00BA0103" w:rsidP="00740C0C">
            <w:pPr>
              <w:spacing w:before="40" w:after="40"/>
              <w:rPr>
                <w:rFonts w:ascii="Arial" w:hAnsi="Arial" w:cs="Arial"/>
                <w:sz w:val="18"/>
                <w:szCs w:val="18"/>
              </w:rPr>
            </w:pPr>
            <w:r w:rsidRPr="00D143DF">
              <w:rPr>
                <w:rFonts w:ascii="Arial" w:hAnsi="Arial" w:cs="Arial"/>
                <w:sz w:val="18"/>
                <w:szCs w:val="18"/>
              </w:rPr>
              <w:t xml:space="preserve">(hier: für Sportwagen </w:t>
            </w:r>
            <w:r w:rsidRPr="00D143DF">
              <w:rPr>
                <w:rFonts w:ascii="Arial" w:hAnsi="Arial" w:cs="Arial"/>
                <w:sz w:val="18"/>
                <w:szCs w:val="18"/>
                <w:highlight w:val="yellow"/>
              </w:rPr>
              <w:t>Ferrari Spider</w:t>
            </w:r>
            <w:r w:rsidRPr="00D143DF">
              <w:rPr>
                <w:rFonts w:ascii="Arial" w:hAnsi="Arial" w:cs="Arial"/>
                <w:sz w:val="18"/>
                <w:szCs w:val="18"/>
              </w:rPr>
              <w:t xml:space="preserve"> eines Tierarztes</w:t>
            </w:r>
            <w:r w:rsidR="0016230A" w:rsidRPr="00D143DF">
              <w:rPr>
                <w:rFonts w:ascii="Arial" w:hAnsi="Arial" w:cs="Arial"/>
                <w:sz w:val="18"/>
                <w:szCs w:val="18"/>
              </w:rPr>
              <w:t xml:space="preserve">; </w:t>
            </w:r>
            <w:r w:rsidR="0016230A" w:rsidRPr="00D143DF">
              <w:rPr>
                <w:rFonts w:ascii="Arial" w:hAnsi="Arial" w:cs="Arial"/>
                <w:sz w:val="18"/>
                <w:szCs w:val="18"/>
                <w:highlight w:val="yellow"/>
              </w:rPr>
              <w:t>Leasing:</w:t>
            </w:r>
            <w:r w:rsidR="0016230A" w:rsidRPr="00D143DF">
              <w:rPr>
                <w:rFonts w:ascii="Arial" w:hAnsi="Arial" w:cs="Arial"/>
                <w:sz w:val="18"/>
                <w:szCs w:val="18"/>
              </w:rPr>
              <w:t xml:space="preserve"> Sonderzahlung 15.000 €, Raten 36 Monate um 2.000 € mtl. zzgl. </w:t>
            </w:r>
            <w:proofErr w:type="spellStart"/>
            <w:r w:rsidR="0016230A" w:rsidRPr="00D143DF">
              <w:rPr>
                <w:rFonts w:ascii="Arial" w:hAnsi="Arial" w:cs="Arial"/>
                <w:sz w:val="18"/>
                <w:szCs w:val="18"/>
              </w:rPr>
              <w:t>USt</w:t>
            </w:r>
            <w:proofErr w:type="spellEnd"/>
            <w:r w:rsidRPr="00D143DF">
              <w:rPr>
                <w:rFonts w:ascii="Arial" w:hAnsi="Arial" w:cs="Arial"/>
                <w:sz w:val="18"/>
                <w:szCs w:val="18"/>
              </w:rPr>
              <w:t>)</w:t>
            </w:r>
          </w:p>
        </w:tc>
        <w:tc>
          <w:tcPr>
            <w:tcW w:w="3297" w:type="dxa"/>
          </w:tcPr>
          <w:p w14:paraId="469D1B6E" w14:textId="77777777" w:rsidR="00BA0103" w:rsidRPr="00D143DF" w:rsidRDefault="00BA0103" w:rsidP="00740C0C">
            <w:pPr>
              <w:spacing w:before="40" w:after="40"/>
              <w:rPr>
                <w:rFonts w:ascii="Arial" w:hAnsi="Arial" w:cs="Arial"/>
                <w:sz w:val="18"/>
                <w:szCs w:val="18"/>
              </w:rPr>
            </w:pPr>
            <w:r w:rsidRPr="00D143DF">
              <w:rPr>
                <w:rFonts w:ascii="Arial" w:hAnsi="Arial" w:cs="Arial"/>
                <w:sz w:val="18"/>
                <w:szCs w:val="18"/>
                <w:u w:val="single"/>
              </w:rPr>
              <w:t>Maßstab für die Angemessenheit:</w:t>
            </w:r>
            <w:r w:rsidRPr="00D143DF">
              <w:rPr>
                <w:rFonts w:ascii="Arial" w:hAnsi="Arial" w:cs="Arial"/>
                <w:sz w:val="18"/>
                <w:szCs w:val="18"/>
              </w:rPr>
              <w:t xml:space="preserve"> Abwägung von Vorteilen und Kosten durch einen ordentlichen und gewissenhaften Unternehmer ungeachtet seiner Freiheit, den Umfang der Erwerbsaufwendungen selbst bestimmen zu können</w:t>
            </w:r>
            <w:r w:rsidR="0006428B" w:rsidRPr="00D143DF">
              <w:rPr>
                <w:rFonts w:ascii="Arial" w:hAnsi="Arial" w:cs="Arial"/>
                <w:sz w:val="18"/>
                <w:szCs w:val="18"/>
              </w:rPr>
              <w:t>.</w:t>
            </w:r>
          </w:p>
          <w:p w14:paraId="14321A9D" w14:textId="77777777" w:rsidR="0006428B" w:rsidRPr="00D143DF" w:rsidRDefault="0006428B" w:rsidP="00740C0C">
            <w:pPr>
              <w:spacing w:before="40" w:after="40"/>
              <w:rPr>
                <w:rFonts w:ascii="Arial" w:hAnsi="Arial" w:cs="Arial"/>
                <w:sz w:val="16"/>
                <w:szCs w:val="16"/>
              </w:rPr>
            </w:pPr>
          </w:p>
          <w:p w14:paraId="6133AFBB" w14:textId="30234630" w:rsidR="0006428B" w:rsidRPr="00D143DF" w:rsidRDefault="0006428B" w:rsidP="00740C0C">
            <w:pPr>
              <w:spacing w:before="40" w:after="40"/>
              <w:rPr>
                <w:rFonts w:ascii="Arial" w:hAnsi="Arial" w:cs="Arial"/>
                <w:sz w:val="16"/>
                <w:szCs w:val="16"/>
              </w:rPr>
            </w:pPr>
            <w:r w:rsidRPr="00D143DF">
              <w:rPr>
                <w:rFonts w:ascii="Arial" w:hAnsi="Arial" w:cs="Arial"/>
                <w:sz w:val="16"/>
                <w:szCs w:val="16"/>
              </w:rPr>
              <w:t xml:space="preserve">Im vorliegenden Fall verneint für den Tierarzt, der den Sportwagen in </w:t>
            </w:r>
            <w:r w:rsidR="000023E1">
              <w:rPr>
                <w:rFonts w:ascii="Arial" w:hAnsi="Arial" w:cs="Arial"/>
                <w:sz w:val="16"/>
                <w:szCs w:val="16"/>
              </w:rPr>
              <w:t>drei</w:t>
            </w:r>
            <w:r w:rsidRPr="00D143DF">
              <w:rPr>
                <w:rFonts w:ascii="Arial" w:hAnsi="Arial" w:cs="Arial"/>
                <w:sz w:val="16"/>
                <w:szCs w:val="16"/>
              </w:rPr>
              <w:t xml:space="preserve"> Jahren zwar überwiegend betrieblich, aber insgesamt nur ganz geringfügig an insgesamt 20 Tagen nutzte. Die betrieblichen Fahrten betrafen dabei Fahrten zu Fortbildungen und Gerichtsterminen, d.h</w:t>
            </w:r>
            <w:r w:rsidR="000023E1">
              <w:rPr>
                <w:rFonts w:ascii="Arial" w:hAnsi="Arial" w:cs="Arial"/>
                <w:sz w:val="16"/>
                <w:szCs w:val="16"/>
              </w:rPr>
              <w:t>.,</w:t>
            </w:r>
            <w:r w:rsidRPr="00D143DF">
              <w:rPr>
                <w:rFonts w:ascii="Arial" w:hAnsi="Arial" w:cs="Arial"/>
                <w:sz w:val="16"/>
                <w:szCs w:val="16"/>
              </w:rPr>
              <w:t xml:space="preserve"> es fehlte am Einsatz für berufstypische tierärztliche Fahrten. </w:t>
            </w:r>
          </w:p>
          <w:p w14:paraId="16E989B4" w14:textId="77777777" w:rsidR="0006428B" w:rsidRPr="00D143DF" w:rsidRDefault="0006428B" w:rsidP="00740C0C">
            <w:pPr>
              <w:spacing w:before="40" w:after="40"/>
              <w:rPr>
                <w:rFonts w:ascii="Arial" w:hAnsi="Arial" w:cs="Arial"/>
                <w:sz w:val="16"/>
                <w:szCs w:val="16"/>
              </w:rPr>
            </w:pPr>
          </w:p>
          <w:p w14:paraId="18548008" w14:textId="77777777" w:rsidR="00BA0103" w:rsidRPr="00D143DF" w:rsidRDefault="00BA0103" w:rsidP="00740C0C">
            <w:pPr>
              <w:spacing w:before="40" w:after="40"/>
              <w:rPr>
                <w:rFonts w:ascii="Arial" w:hAnsi="Arial" w:cs="Arial"/>
                <w:sz w:val="18"/>
                <w:szCs w:val="18"/>
              </w:rPr>
            </w:pPr>
            <w:r w:rsidRPr="00D143DF">
              <w:rPr>
                <w:rFonts w:ascii="Arial" w:hAnsi="Arial" w:cs="Arial"/>
                <w:sz w:val="18"/>
                <w:szCs w:val="18"/>
                <w:u w:val="single"/>
              </w:rPr>
              <w:t xml:space="preserve">Folgen bei Unangemessenheit: </w:t>
            </w:r>
            <w:r w:rsidRPr="00D143DF">
              <w:rPr>
                <w:rFonts w:ascii="Arial" w:hAnsi="Arial" w:cs="Arial"/>
                <w:sz w:val="18"/>
                <w:szCs w:val="18"/>
              </w:rPr>
              <w:t>Feststellung des angemessenen (abziehbaren) Anteils aus der Sicht eines ordentlichen und gewissenhaften Unternehmers in derselben Situation wie der Steuerpflichtige.</w:t>
            </w:r>
          </w:p>
          <w:p w14:paraId="7CC06AE0" w14:textId="77777777" w:rsidR="0006428B" w:rsidRPr="00D143DF" w:rsidRDefault="0006428B" w:rsidP="00740C0C">
            <w:pPr>
              <w:spacing w:before="40" w:after="40"/>
              <w:rPr>
                <w:rFonts w:ascii="Arial" w:hAnsi="Arial" w:cs="Arial"/>
                <w:sz w:val="18"/>
                <w:szCs w:val="18"/>
              </w:rPr>
            </w:pPr>
          </w:p>
          <w:p w14:paraId="7CD10783" w14:textId="77777777" w:rsidR="0006428B" w:rsidRPr="00D143DF" w:rsidRDefault="0006428B" w:rsidP="00740C0C">
            <w:pPr>
              <w:spacing w:before="40" w:after="40"/>
              <w:rPr>
                <w:rFonts w:ascii="Arial" w:hAnsi="Arial" w:cs="Arial"/>
                <w:sz w:val="16"/>
                <w:szCs w:val="16"/>
                <w:u w:val="single"/>
              </w:rPr>
            </w:pPr>
            <w:r w:rsidRPr="00D143DF">
              <w:rPr>
                <w:rFonts w:ascii="Arial" w:hAnsi="Arial" w:cs="Arial"/>
                <w:sz w:val="16"/>
                <w:szCs w:val="16"/>
              </w:rPr>
              <w:t xml:space="preserve">Die vom Finanzgericht vorgenommene Ermittlung eines angemessenen Kostenansatzes von 2 €/km für betriebliche Fahrten ermittelt auf Basis von Vergleichswerten für Oberklassewagen von BMW und Mercedes </w:t>
            </w:r>
            <w:r w:rsidR="0016230A" w:rsidRPr="00D143DF">
              <w:rPr>
                <w:rFonts w:ascii="Arial" w:hAnsi="Arial" w:cs="Arial"/>
                <w:sz w:val="16"/>
                <w:szCs w:val="16"/>
              </w:rPr>
              <w:t>SL 600 war nach Auffassung des BFH im vorliegenden Fall nicht zu beanstanden.</w:t>
            </w:r>
            <w:r w:rsidR="0095045D" w:rsidRPr="00D143DF">
              <w:rPr>
                <w:rFonts w:ascii="Arial" w:hAnsi="Arial" w:cs="Arial"/>
                <w:sz w:val="16"/>
                <w:szCs w:val="16"/>
              </w:rPr>
              <w:t xml:space="preserve"> (Ist-Kosten je km im Urteilsfall gut 14 €/km).</w:t>
            </w:r>
          </w:p>
        </w:tc>
        <w:tc>
          <w:tcPr>
            <w:tcW w:w="1499" w:type="dxa"/>
          </w:tcPr>
          <w:p w14:paraId="7A1A1B68" w14:textId="312A4B71" w:rsidR="00BD4878" w:rsidRPr="00D143DF" w:rsidRDefault="00BA0103" w:rsidP="00740C0C">
            <w:pPr>
              <w:spacing w:before="40" w:after="40"/>
              <w:rPr>
                <w:rFonts w:ascii="Arial" w:hAnsi="Arial" w:cs="Arial"/>
                <w:sz w:val="18"/>
                <w:szCs w:val="18"/>
              </w:rPr>
            </w:pPr>
            <w:r w:rsidRPr="00D143DF">
              <w:rPr>
                <w:rFonts w:ascii="Arial" w:hAnsi="Arial" w:cs="Arial"/>
                <w:sz w:val="18"/>
                <w:szCs w:val="18"/>
              </w:rPr>
              <w:t>BFH v. 29.4.2014, VIII R 20/12, BStBl. 2014 II</w:t>
            </w:r>
            <w:r w:rsidR="008278BD" w:rsidRPr="00D143DF">
              <w:rPr>
                <w:rFonts w:ascii="Arial" w:hAnsi="Arial" w:cs="Arial"/>
                <w:sz w:val="18"/>
                <w:szCs w:val="18"/>
              </w:rPr>
              <w:t>, S. 679; für allgemein anwendbar erklärt durch BMF am 15.9.2014</w:t>
            </w:r>
          </w:p>
          <w:p w14:paraId="569A577F" w14:textId="77777777" w:rsidR="0016230A" w:rsidRPr="00D143DF" w:rsidRDefault="0016230A" w:rsidP="00740C0C">
            <w:pPr>
              <w:spacing w:before="40" w:after="40"/>
              <w:rPr>
                <w:rFonts w:ascii="Arial" w:hAnsi="Arial" w:cs="Arial"/>
                <w:sz w:val="18"/>
                <w:szCs w:val="18"/>
              </w:rPr>
            </w:pPr>
          </w:p>
          <w:p w14:paraId="7A1B8092" w14:textId="77777777" w:rsidR="0016230A" w:rsidRPr="00D143DF" w:rsidRDefault="0016230A" w:rsidP="00740C0C">
            <w:pPr>
              <w:spacing w:before="40" w:after="40"/>
              <w:rPr>
                <w:rFonts w:ascii="Arial" w:hAnsi="Arial" w:cs="Arial"/>
                <w:sz w:val="18"/>
                <w:szCs w:val="18"/>
              </w:rPr>
            </w:pPr>
          </w:p>
          <w:p w14:paraId="0C204E4A" w14:textId="77777777" w:rsidR="0016230A" w:rsidRPr="00D143DF" w:rsidRDefault="0016230A" w:rsidP="00740C0C">
            <w:pPr>
              <w:spacing w:before="40" w:after="40"/>
              <w:rPr>
                <w:rFonts w:ascii="Arial" w:hAnsi="Arial" w:cs="Arial"/>
                <w:sz w:val="18"/>
                <w:szCs w:val="18"/>
              </w:rPr>
            </w:pPr>
            <w:r w:rsidRPr="00D143DF">
              <w:rPr>
                <w:rFonts w:ascii="Arial" w:hAnsi="Arial" w:cs="Arial"/>
                <w:sz w:val="18"/>
                <w:szCs w:val="18"/>
              </w:rPr>
              <w:t>Vorinstanz:</w:t>
            </w:r>
          </w:p>
          <w:p w14:paraId="4E681A10" w14:textId="6F948E77" w:rsidR="0016230A" w:rsidRPr="00D143DF" w:rsidRDefault="0016230A" w:rsidP="00740C0C">
            <w:pPr>
              <w:spacing w:before="40" w:after="40"/>
              <w:rPr>
                <w:rFonts w:ascii="Arial" w:hAnsi="Arial" w:cs="Arial"/>
                <w:sz w:val="18"/>
                <w:szCs w:val="18"/>
              </w:rPr>
            </w:pPr>
            <w:r w:rsidRPr="00D143DF">
              <w:rPr>
                <w:rFonts w:ascii="Arial" w:hAnsi="Arial" w:cs="Arial"/>
                <w:sz w:val="18"/>
                <w:szCs w:val="18"/>
              </w:rPr>
              <w:t>FG Nürnberg</w:t>
            </w:r>
            <w:r w:rsidR="000023E1">
              <w:rPr>
                <w:rFonts w:ascii="Arial" w:hAnsi="Arial" w:cs="Arial"/>
                <w:sz w:val="18"/>
                <w:szCs w:val="18"/>
              </w:rPr>
              <w:t>,</w:t>
            </w:r>
            <w:r w:rsidRPr="00D143DF">
              <w:rPr>
                <w:rFonts w:ascii="Arial" w:hAnsi="Arial" w:cs="Arial"/>
                <w:sz w:val="18"/>
                <w:szCs w:val="18"/>
              </w:rPr>
              <w:t xml:space="preserve"> </w:t>
            </w:r>
            <w:r w:rsidR="000023E1">
              <w:rPr>
                <w:rFonts w:ascii="Arial" w:hAnsi="Arial" w:cs="Arial"/>
                <w:sz w:val="18"/>
                <w:szCs w:val="18"/>
              </w:rPr>
              <w:t xml:space="preserve">Urt. </w:t>
            </w:r>
            <w:r w:rsidRPr="00D143DF">
              <w:rPr>
                <w:rFonts w:ascii="Arial" w:hAnsi="Arial" w:cs="Arial"/>
                <w:sz w:val="18"/>
                <w:szCs w:val="18"/>
              </w:rPr>
              <w:t>v. 27.</w:t>
            </w:r>
            <w:r w:rsidR="000023E1">
              <w:rPr>
                <w:rFonts w:ascii="Arial" w:hAnsi="Arial" w:cs="Arial"/>
                <w:sz w:val="18"/>
                <w:szCs w:val="18"/>
              </w:rPr>
              <w:t>0</w:t>
            </w:r>
            <w:r w:rsidRPr="00D143DF">
              <w:rPr>
                <w:rFonts w:ascii="Arial" w:hAnsi="Arial" w:cs="Arial"/>
                <w:sz w:val="18"/>
                <w:szCs w:val="18"/>
              </w:rPr>
              <w:t>1.2012</w:t>
            </w:r>
            <w:r w:rsidR="000023E1">
              <w:rPr>
                <w:rFonts w:ascii="Arial" w:hAnsi="Arial" w:cs="Arial"/>
                <w:sz w:val="18"/>
                <w:szCs w:val="18"/>
              </w:rPr>
              <w:t xml:space="preserve"> – </w:t>
            </w:r>
            <w:r w:rsidRPr="00D143DF">
              <w:rPr>
                <w:rFonts w:ascii="Arial" w:hAnsi="Arial" w:cs="Arial"/>
                <w:sz w:val="18"/>
                <w:szCs w:val="18"/>
              </w:rPr>
              <w:t>7 K 966/2009; EFG 2012, 1238</w:t>
            </w:r>
          </w:p>
        </w:tc>
        <w:tc>
          <w:tcPr>
            <w:tcW w:w="1413" w:type="dxa"/>
            <w:shd w:val="clear" w:color="auto" w:fill="auto"/>
          </w:tcPr>
          <w:p w14:paraId="0ABCC5F6" w14:textId="77777777" w:rsidR="00BD4878" w:rsidRPr="00D143DF" w:rsidRDefault="00BD4878" w:rsidP="00740C0C">
            <w:pPr>
              <w:spacing w:before="40" w:after="40"/>
              <w:jc w:val="center"/>
              <w:rPr>
                <w:rFonts w:ascii="Arial" w:hAnsi="Arial" w:cs="Arial"/>
                <w:sz w:val="18"/>
                <w:szCs w:val="18"/>
              </w:rPr>
            </w:pPr>
          </w:p>
        </w:tc>
        <w:tc>
          <w:tcPr>
            <w:tcW w:w="688" w:type="dxa"/>
          </w:tcPr>
          <w:p w14:paraId="0703224C" w14:textId="77777777" w:rsidR="00D143DF" w:rsidRDefault="00D143DF" w:rsidP="00740C0C">
            <w:pPr>
              <w:spacing w:before="40" w:after="40"/>
              <w:jc w:val="center"/>
              <w:rPr>
                <w:rFonts w:ascii="Arial" w:hAnsi="Arial" w:cs="Arial"/>
                <w:sz w:val="18"/>
                <w:szCs w:val="18"/>
              </w:rPr>
            </w:pPr>
          </w:p>
          <w:p w14:paraId="1E476C5E" w14:textId="77777777" w:rsidR="00D143DF" w:rsidRDefault="00D143DF" w:rsidP="00740C0C">
            <w:pPr>
              <w:spacing w:before="40" w:after="40"/>
              <w:jc w:val="center"/>
              <w:rPr>
                <w:rFonts w:ascii="Arial" w:hAnsi="Arial" w:cs="Arial"/>
                <w:sz w:val="18"/>
                <w:szCs w:val="18"/>
              </w:rPr>
            </w:pPr>
          </w:p>
          <w:p w14:paraId="351512D0" w14:textId="77777777" w:rsidR="00BD4878"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c>
          <w:tcPr>
            <w:tcW w:w="694" w:type="dxa"/>
          </w:tcPr>
          <w:p w14:paraId="047F860A" w14:textId="77777777" w:rsidR="00D143DF" w:rsidRDefault="00D143DF" w:rsidP="00740C0C">
            <w:pPr>
              <w:spacing w:before="40" w:after="40"/>
              <w:jc w:val="center"/>
              <w:rPr>
                <w:rFonts w:ascii="Arial" w:hAnsi="Arial" w:cs="Arial"/>
                <w:sz w:val="18"/>
                <w:szCs w:val="18"/>
              </w:rPr>
            </w:pPr>
          </w:p>
          <w:p w14:paraId="2B45E442" w14:textId="77777777" w:rsidR="00D143DF" w:rsidRDefault="00D143DF" w:rsidP="00740C0C">
            <w:pPr>
              <w:spacing w:before="40" w:after="40"/>
              <w:jc w:val="center"/>
              <w:rPr>
                <w:rFonts w:ascii="Arial" w:hAnsi="Arial" w:cs="Arial"/>
                <w:sz w:val="18"/>
                <w:szCs w:val="18"/>
              </w:rPr>
            </w:pPr>
          </w:p>
          <w:p w14:paraId="33527B6A" w14:textId="77777777" w:rsidR="00BD4878"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r>
      <w:tr w:rsidR="00D54DF2" w:rsidRPr="00D143DF" w14:paraId="213297CF" w14:textId="77777777" w:rsidTr="00462DF1">
        <w:tc>
          <w:tcPr>
            <w:tcW w:w="2258" w:type="dxa"/>
          </w:tcPr>
          <w:p w14:paraId="2B01A9AA" w14:textId="77777777" w:rsidR="00691759" w:rsidRPr="00D143DF" w:rsidRDefault="0016366A" w:rsidP="00740C0C">
            <w:pPr>
              <w:spacing w:before="40" w:after="40"/>
              <w:rPr>
                <w:rFonts w:ascii="Arial" w:hAnsi="Arial" w:cs="Arial"/>
                <w:sz w:val="18"/>
                <w:szCs w:val="18"/>
              </w:rPr>
            </w:pPr>
            <w:r w:rsidRPr="00D143DF">
              <w:rPr>
                <w:rFonts w:ascii="Arial" w:hAnsi="Arial" w:cs="Arial"/>
                <w:sz w:val="18"/>
                <w:szCs w:val="18"/>
              </w:rPr>
              <w:t>serienmäßige Herstellung</w:t>
            </w:r>
          </w:p>
        </w:tc>
        <w:tc>
          <w:tcPr>
            <w:tcW w:w="3297" w:type="dxa"/>
          </w:tcPr>
          <w:p w14:paraId="79D6B034" w14:textId="77777777" w:rsidR="00691759" w:rsidRPr="00D143DF" w:rsidRDefault="0016366A" w:rsidP="00740C0C">
            <w:pPr>
              <w:spacing w:before="40" w:after="40"/>
              <w:rPr>
                <w:rFonts w:ascii="Arial" w:hAnsi="Arial" w:cs="Arial"/>
                <w:sz w:val="18"/>
                <w:szCs w:val="18"/>
              </w:rPr>
            </w:pPr>
            <w:r w:rsidRPr="00D143DF">
              <w:rPr>
                <w:rFonts w:ascii="Arial" w:hAnsi="Arial" w:cs="Arial"/>
                <w:sz w:val="18"/>
                <w:szCs w:val="18"/>
              </w:rPr>
              <w:t xml:space="preserve">Unerheblich bei einem </w:t>
            </w:r>
            <w:r w:rsidRPr="00D143DF">
              <w:rPr>
                <w:rFonts w:ascii="Arial" w:hAnsi="Arial" w:cs="Arial"/>
                <w:sz w:val="18"/>
                <w:szCs w:val="18"/>
                <w:highlight w:val="yellow"/>
              </w:rPr>
              <w:t>Lamborghini Aventador (Brutto-KP 298.475 €):</w:t>
            </w:r>
            <w:r w:rsidRPr="00D143DF">
              <w:rPr>
                <w:rFonts w:ascii="Arial" w:hAnsi="Arial" w:cs="Arial"/>
                <w:sz w:val="18"/>
                <w:szCs w:val="18"/>
              </w:rPr>
              <w:t xml:space="preserve"> „Der Unterhalt eines derartigen Fahrzeugs dient ähnlichen Zwecken </w:t>
            </w:r>
            <w:r w:rsidRPr="00D143DF">
              <w:rPr>
                <w:rFonts w:ascii="Arial" w:hAnsi="Arial" w:cs="Arial"/>
                <w:sz w:val="18"/>
                <w:szCs w:val="18"/>
              </w:rPr>
              <w:lastRenderedPageBreak/>
              <w:t>wie Aufwendungen für Jagden, Segel- oder Motorjachten, weil er seiner Art nach geeignet ist, unangemessenen Repräsentationsaufwand auszulösen.“ Es handele sich nach Auffassung des Gerichts um den „Prototyp eines Sportwagens</w:t>
            </w:r>
            <w:r w:rsidR="00865880" w:rsidRPr="00D143DF">
              <w:rPr>
                <w:rFonts w:ascii="Arial" w:hAnsi="Arial" w:cs="Arial"/>
                <w:sz w:val="18"/>
                <w:szCs w:val="18"/>
              </w:rPr>
              <w:t>, der trotz serienmäßiger Herstellung</w:t>
            </w:r>
            <w:r w:rsidRPr="00D143DF">
              <w:rPr>
                <w:rFonts w:ascii="Arial" w:hAnsi="Arial" w:cs="Arial"/>
                <w:sz w:val="18"/>
                <w:szCs w:val="18"/>
              </w:rPr>
              <w:t xml:space="preserve"> im Straßenbild Aufsehen erregt“ und geeignet ist</w:t>
            </w:r>
            <w:r w:rsidR="00865880" w:rsidRPr="00D143DF">
              <w:rPr>
                <w:rFonts w:ascii="Arial" w:hAnsi="Arial" w:cs="Arial"/>
                <w:sz w:val="18"/>
                <w:szCs w:val="18"/>
              </w:rPr>
              <w:t xml:space="preserve">, ein </w:t>
            </w:r>
            <w:r w:rsidRPr="00D143DF">
              <w:rPr>
                <w:rFonts w:ascii="Arial" w:hAnsi="Arial" w:cs="Arial"/>
                <w:sz w:val="18"/>
                <w:szCs w:val="18"/>
              </w:rPr>
              <w:t>Affektionsinteresse</w:t>
            </w:r>
            <w:r w:rsidR="00865880" w:rsidRPr="00D143DF">
              <w:rPr>
                <w:rFonts w:ascii="Arial" w:hAnsi="Arial" w:cs="Arial"/>
                <w:sz w:val="18"/>
                <w:szCs w:val="18"/>
              </w:rPr>
              <w:t xml:space="preserve"> des Halters</w:t>
            </w:r>
            <w:r w:rsidRPr="00D143DF">
              <w:rPr>
                <w:rFonts w:ascii="Arial" w:hAnsi="Arial" w:cs="Arial"/>
                <w:sz w:val="18"/>
                <w:szCs w:val="18"/>
              </w:rPr>
              <w:t xml:space="preserve"> auszulösen</w:t>
            </w:r>
            <w:r w:rsidR="00865880" w:rsidRPr="00D143DF">
              <w:rPr>
                <w:rFonts w:ascii="Arial" w:hAnsi="Arial" w:cs="Arial"/>
                <w:sz w:val="18"/>
                <w:szCs w:val="18"/>
              </w:rPr>
              <w:t>“, der sich im konkreten Fall auch tatsächlich in Motorsportkreisen bewegt. Ein konkreter betrieblicher Bezug war nicht zu erkennen. 1%-Lohnversteuerung war nicht gegenzurechnen, Gewinn um 100.000 € p.a., Reinigungsunternehmen.</w:t>
            </w:r>
            <w:r w:rsidRPr="00D143DF">
              <w:rPr>
                <w:rFonts w:ascii="Arial" w:hAnsi="Arial" w:cs="Arial"/>
                <w:sz w:val="18"/>
                <w:szCs w:val="18"/>
              </w:rPr>
              <w:t xml:space="preserve"> </w:t>
            </w:r>
          </w:p>
        </w:tc>
        <w:tc>
          <w:tcPr>
            <w:tcW w:w="1499" w:type="dxa"/>
          </w:tcPr>
          <w:p w14:paraId="3C32A5BD" w14:textId="5336923A" w:rsidR="00691759" w:rsidRPr="00D143DF" w:rsidRDefault="00865880" w:rsidP="00740C0C">
            <w:pPr>
              <w:spacing w:before="40" w:after="40"/>
              <w:rPr>
                <w:rFonts w:ascii="Arial" w:hAnsi="Arial" w:cs="Arial"/>
                <w:sz w:val="18"/>
                <w:szCs w:val="18"/>
              </w:rPr>
            </w:pPr>
            <w:r w:rsidRPr="00D143DF">
              <w:rPr>
                <w:rFonts w:ascii="Arial" w:hAnsi="Arial" w:cs="Arial"/>
                <w:sz w:val="18"/>
                <w:szCs w:val="18"/>
              </w:rPr>
              <w:lastRenderedPageBreak/>
              <w:t>FG Hamburg</w:t>
            </w:r>
            <w:r w:rsidR="000023E1">
              <w:rPr>
                <w:rFonts w:ascii="Arial" w:hAnsi="Arial" w:cs="Arial"/>
                <w:sz w:val="18"/>
                <w:szCs w:val="18"/>
              </w:rPr>
              <w:t>, Urt.</w:t>
            </w:r>
            <w:r w:rsidRPr="00D143DF">
              <w:rPr>
                <w:rFonts w:ascii="Arial" w:hAnsi="Arial" w:cs="Arial"/>
                <w:sz w:val="18"/>
                <w:szCs w:val="18"/>
              </w:rPr>
              <w:t xml:space="preserve"> v. 11.10.2018</w:t>
            </w:r>
            <w:r w:rsidR="000023E1">
              <w:rPr>
                <w:rFonts w:ascii="Arial" w:hAnsi="Arial" w:cs="Arial"/>
                <w:sz w:val="18"/>
                <w:szCs w:val="18"/>
              </w:rPr>
              <w:t xml:space="preserve"> – </w:t>
            </w:r>
            <w:r w:rsidRPr="00D143DF">
              <w:rPr>
                <w:rFonts w:ascii="Arial" w:hAnsi="Arial" w:cs="Arial"/>
                <w:sz w:val="18"/>
                <w:szCs w:val="18"/>
              </w:rPr>
              <w:t>2 K 116/18</w:t>
            </w:r>
            <w:r w:rsidR="002B7A1C" w:rsidRPr="00D143DF">
              <w:rPr>
                <w:rFonts w:ascii="Arial" w:hAnsi="Arial" w:cs="Arial"/>
                <w:sz w:val="18"/>
                <w:szCs w:val="18"/>
              </w:rPr>
              <w:t>; Rev</w:t>
            </w:r>
            <w:r w:rsidR="000023E1">
              <w:rPr>
                <w:rFonts w:ascii="Arial" w:hAnsi="Arial" w:cs="Arial"/>
                <w:sz w:val="18"/>
                <w:szCs w:val="18"/>
              </w:rPr>
              <w:t>.</w:t>
            </w:r>
            <w:r w:rsidR="002B7A1C" w:rsidRPr="00D143DF">
              <w:rPr>
                <w:rFonts w:ascii="Arial" w:hAnsi="Arial" w:cs="Arial"/>
                <w:sz w:val="18"/>
                <w:szCs w:val="18"/>
              </w:rPr>
              <w:t xml:space="preserve"> nicht zugelassen</w:t>
            </w:r>
          </w:p>
        </w:tc>
        <w:tc>
          <w:tcPr>
            <w:tcW w:w="1413" w:type="dxa"/>
            <w:shd w:val="clear" w:color="auto" w:fill="auto"/>
          </w:tcPr>
          <w:p w14:paraId="7E0D1E65" w14:textId="3CF38DCF" w:rsidR="00691759" w:rsidRPr="00D143DF" w:rsidRDefault="00865880" w:rsidP="00740C0C">
            <w:pPr>
              <w:spacing w:before="40" w:after="40"/>
              <w:jc w:val="center"/>
              <w:rPr>
                <w:rFonts w:ascii="Arial" w:hAnsi="Arial" w:cs="Arial"/>
                <w:sz w:val="18"/>
                <w:szCs w:val="18"/>
              </w:rPr>
            </w:pPr>
            <w:r w:rsidRPr="00D143DF">
              <w:rPr>
                <w:rFonts w:ascii="Arial" w:hAnsi="Arial" w:cs="Arial"/>
                <w:sz w:val="18"/>
                <w:szCs w:val="18"/>
              </w:rPr>
              <w:t>0</w:t>
            </w:r>
          </w:p>
          <w:p w14:paraId="5854079E" w14:textId="77777777" w:rsidR="00865880" w:rsidRPr="00D143DF" w:rsidRDefault="00865880" w:rsidP="00740C0C">
            <w:pPr>
              <w:spacing w:before="40" w:after="40"/>
              <w:jc w:val="center"/>
              <w:rPr>
                <w:rFonts w:ascii="Arial" w:hAnsi="Arial" w:cs="Arial"/>
                <w:sz w:val="18"/>
                <w:szCs w:val="18"/>
              </w:rPr>
            </w:pPr>
          </w:p>
        </w:tc>
        <w:tc>
          <w:tcPr>
            <w:tcW w:w="688" w:type="dxa"/>
          </w:tcPr>
          <w:p w14:paraId="2AB52D37" w14:textId="77777777" w:rsidR="00D143DF" w:rsidRDefault="00D143DF" w:rsidP="00740C0C">
            <w:pPr>
              <w:spacing w:before="40" w:after="40"/>
              <w:jc w:val="center"/>
              <w:rPr>
                <w:rFonts w:ascii="Arial" w:hAnsi="Arial" w:cs="Arial"/>
                <w:sz w:val="18"/>
                <w:szCs w:val="18"/>
              </w:rPr>
            </w:pPr>
          </w:p>
          <w:p w14:paraId="03945147" w14:textId="77777777" w:rsidR="00D143DF" w:rsidRDefault="00D143DF" w:rsidP="00740C0C">
            <w:pPr>
              <w:spacing w:before="40" w:after="40"/>
              <w:jc w:val="center"/>
              <w:rPr>
                <w:rFonts w:ascii="Arial" w:hAnsi="Arial" w:cs="Arial"/>
                <w:sz w:val="18"/>
                <w:szCs w:val="18"/>
              </w:rPr>
            </w:pPr>
          </w:p>
          <w:p w14:paraId="6BFED068" w14:textId="77777777" w:rsidR="00691759"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c>
          <w:tcPr>
            <w:tcW w:w="694" w:type="dxa"/>
          </w:tcPr>
          <w:p w14:paraId="298E07CA" w14:textId="77777777" w:rsidR="00D143DF" w:rsidRDefault="00D143DF" w:rsidP="00740C0C">
            <w:pPr>
              <w:spacing w:before="40" w:after="40"/>
              <w:jc w:val="center"/>
              <w:rPr>
                <w:rFonts w:ascii="Arial" w:hAnsi="Arial" w:cs="Arial"/>
                <w:sz w:val="18"/>
                <w:szCs w:val="18"/>
              </w:rPr>
            </w:pPr>
          </w:p>
          <w:p w14:paraId="48CD9A56" w14:textId="77777777" w:rsidR="00D143DF" w:rsidRDefault="00D143DF" w:rsidP="00740C0C">
            <w:pPr>
              <w:spacing w:before="40" w:after="40"/>
              <w:jc w:val="center"/>
              <w:rPr>
                <w:rFonts w:ascii="Arial" w:hAnsi="Arial" w:cs="Arial"/>
                <w:sz w:val="18"/>
                <w:szCs w:val="18"/>
              </w:rPr>
            </w:pPr>
          </w:p>
          <w:p w14:paraId="12A6B9CD" w14:textId="77777777" w:rsidR="00691759"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r>
      <w:tr w:rsidR="00D54DF2" w:rsidRPr="00D143DF" w14:paraId="70F66932" w14:textId="77777777" w:rsidTr="00462DF1">
        <w:tc>
          <w:tcPr>
            <w:tcW w:w="2258" w:type="dxa"/>
          </w:tcPr>
          <w:p w14:paraId="2CF6ABBA" w14:textId="77777777" w:rsidR="00691759" w:rsidRPr="00D143DF" w:rsidRDefault="002B7A1C" w:rsidP="00740C0C">
            <w:pPr>
              <w:spacing w:before="40" w:after="40"/>
              <w:rPr>
                <w:rFonts w:ascii="Arial" w:hAnsi="Arial" w:cs="Arial"/>
                <w:sz w:val="18"/>
                <w:szCs w:val="18"/>
              </w:rPr>
            </w:pPr>
            <w:r w:rsidRPr="00D143DF">
              <w:rPr>
                <w:rFonts w:ascii="Arial" w:hAnsi="Arial" w:cs="Arial"/>
                <w:sz w:val="18"/>
                <w:szCs w:val="18"/>
              </w:rPr>
              <w:t>Repräsentationsaufwand dient konkreten betrieblichen Erfordernissen</w:t>
            </w:r>
          </w:p>
        </w:tc>
        <w:tc>
          <w:tcPr>
            <w:tcW w:w="3297" w:type="dxa"/>
          </w:tcPr>
          <w:p w14:paraId="0E26DC02" w14:textId="4072BDCF" w:rsidR="002B7A1C" w:rsidRPr="00D143DF" w:rsidRDefault="002B7A1C" w:rsidP="00740C0C">
            <w:pPr>
              <w:spacing w:before="40" w:after="40"/>
              <w:rPr>
                <w:rFonts w:ascii="Arial" w:hAnsi="Arial" w:cs="Arial"/>
                <w:sz w:val="18"/>
                <w:szCs w:val="18"/>
              </w:rPr>
            </w:pPr>
            <w:r w:rsidRPr="00D143DF">
              <w:rPr>
                <w:rFonts w:ascii="Arial" w:hAnsi="Arial" w:cs="Arial"/>
                <w:sz w:val="18"/>
                <w:szCs w:val="18"/>
              </w:rPr>
              <w:t xml:space="preserve">Die Prüfung der Angemessenheit von Aufwendungen </w:t>
            </w:r>
            <w:proofErr w:type="spellStart"/>
            <w:r w:rsidRPr="00D143DF">
              <w:rPr>
                <w:rFonts w:ascii="Arial" w:hAnsi="Arial" w:cs="Arial"/>
                <w:sz w:val="18"/>
                <w:szCs w:val="18"/>
              </w:rPr>
              <w:t>i.S.d</w:t>
            </w:r>
            <w:proofErr w:type="spellEnd"/>
            <w:r w:rsidR="000023E1">
              <w:rPr>
                <w:rFonts w:ascii="Arial" w:hAnsi="Arial" w:cs="Arial"/>
                <w:sz w:val="18"/>
                <w:szCs w:val="18"/>
              </w:rPr>
              <w:t>.</w:t>
            </w:r>
            <w:r w:rsidRPr="00D143DF">
              <w:rPr>
                <w:rFonts w:ascii="Arial" w:hAnsi="Arial" w:cs="Arial"/>
                <w:sz w:val="18"/>
                <w:szCs w:val="18"/>
              </w:rPr>
              <w:t xml:space="preserve"> § 4 Abs. 5 Nr</w:t>
            </w:r>
            <w:r w:rsidRPr="00D143DF">
              <w:rPr>
                <w:rFonts w:ascii="Arial" w:hAnsi="Arial" w:cs="Arial"/>
                <w:sz w:val="18"/>
                <w:szCs w:val="18"/>
                <w:highlight w:val="yellow"/>
              </w:rPr>
              <w:t>. 7</w:t>
            </w:r>
            <w:r w:rsidRPr="00D143DF">
              <w:rPr>
                <w:rFonts w:ascii="Arial" w:hAnsi="Arial" w:cs="Arial"/>
                <w:sz w:val="18"/>
                <w:szCs w:val="18"/>
              </w:rPr>
              <w:t xml:space="preserve"> EStG hat an</w:t>
            </w:r>
            <w:r w:rsidR="000023E1">
              <w:rPr>
                <w:rFonts w:ascii="Arial" w:hAnsi="Arial" w:cs="Arial"/>
                <w:sz w:val="18"/>
                <w:szCs w:val="18"/>
              </w:rPr>
              <w:t>h</w:t>
            </w:r>
            <w:r w:rsidRPr="00D143DF">
              <w:rPr>
                <w:rFonts w:ascii="Arial" w:hAnsi="Arial" w:cs="Arial"/>
                <w:sz w:val="18"/>
                <w:szCs w:val="18"/>
              </w:rPr>
              <w:t>and der betrieblichen Verhältnisse des Einzelfalles zu erfolgen. Neben der Größe des Unternehmens und der Höhe von Umsatz und Gewinn ist vor allem die Bedeutung des Repräsentationsaufwandes für den Geschäftserfolg als Beurteilungskriterium heranzuziehen (Anschlu</w:t>
            </w:r>
            <w:r w:rsidR="000023E1">
              <w:rPr>
                <w:rFonts w:ascii="Arial" w:hAnsi="Arial" w:cs="Arial"/>
                <w:sz w:val="18"/>
                <w:szCs w:val="18"/>
              </w:rPr>
              <w:t xml:space="preserve">ss </w:t>
            </w:r>
            <w:r w:rsidRPr="00D143DF">
              <w:rPr>
                <w:rFonts w:ascii="Arial" w:hAnsi="Arial" w:cs="Arial"/>
                <w:sz w:val="18"/>
                <w:szCs w:val="18"/>
              </w:rPr>
              <w:t>an BFH-Urteil vom 20.</w:t>
            </w:r>
            <w:r w:rsidR="000023E1">
              <w:rPr>
                <w:rFonts w:ascii="Arial" w:hAnsi="Arial" w:cs="Arial"/>
                <w:sz w:val="18"/>
                <w:szCs w:val="18"/>
              </w:rPr>
              <w:t>08.</w:t>
            </w:r>
            <w:r w:rsidRPr="00D143DF">
              <w:rPr>
                <w:rFonts w:ascii="Arial" w:hAnsi="Arial" w:cs="Arial"/>
                <w:sz w:val="18"/>
                <w:szCs w:val="18"/>
              </w:rPr>
              <w:t xml:space="preserve">1986 </w:t>
            </w:r>
            <w:r w:rsidR="000023E1">
              <w:rPr>
                <w:rFonts w:ascii="Arial" w:hAnsi="Arial" w:cs="Arial"/>
                <w:sz w:val="18"/>
                <w:szCs w:val="18"/>
              </w:rPr>
              <w:t xml:space="preserve">– </w:t>
            </w:r>
            <w:r w:rsidRPr="00D143DF">
              <w:rPr>
                <w:rFonts w:ascii="Arial" w:hAnsi="Arial" w:cs="Arial"/>
                <w:sz w:val="18"/>
                <w:szCs w:val="18"/>
              </w:rPr>
              <w:t xml:space="preserve">I R 80/83, </w:t>
            </w:r>
            <w:proofErr w:type="spellStart"/>
            <w:r w:rsidRPr="00D143DF">
              <w:rPr>
                <w:rFonts w:ascii="Arial" w:hAnsi="Arial" w:cs="Arial"/>
                <w:sz w:val="18"/>
                <w:szCs w:val="18"/>
              </w:rPr>
              <w:t>BStBl</w:t>
            </w:r>
            <w:proofErr w:type="spellEnd"/>
            <w:r w:rsidRPr="00D143DF">
              <w:rPr>
                <w:rFonts w:ascii="Arial" w:hAnsi="Arial" w:cs="Arial"/>
                <w:sz w:val="18"/>
                <w:szCs w:val="18"/>
              </w:rPr>
              <w:t xml:space="preserve"> II 1986, 904).</w:t>
            </w:r>
          </w:p>
          <w:p w14:paraId="03D2FF9D" w14:textId="25BF5F1B" w:rsidR="00691759" w:rsidRPr="00D143DF" w:rsidRDefault="002B7A1C" w:rsidP="00740C0C">
            <w:pPr>
              <w:spacing w:before="40" w:after="40"/>
              <w:rPr>
                <w:rFonts w:ascii="Arial" w:hAnsi="Arial" w:cs="Arial"/>
                <w:sz w:val="18"/>
                <w:szCs w:val="18"/>
              </w:rPr>
            </w:pPr>
            <w:r w:rsidRPr="00D143DF">
              <w:rPr>
                <w:rFonts w:ascii="Arial" w:hAnsi="Arial" w:cs="Arial"/>
                <w:sz w:val="18"/>
                <w:szCs w:val="18"/>
              </w:rPr>
              <w:t>Unter Berücksichtigung der vorgenannten Umstände kann die auf den P</w:t>
            </w:r>
            <w:r w:rsidR="000023E1">
              <w:rPr>
                <w:rFonts w:ascii="Arial" w:hAnsi="Arial" w:cs="Arial"/>
                <w:sz w:val="18"/>
                <w:szCs w:val="18"/>
              </w:rPr>
              <w:t>kw</w:t>
            </w:r>
            <w:r w:rsidRPr="00D143DF">
              <w:rPr>
                <w:rFonts w:ascii="Arial" w:hAnsi="Arial" w:cs="Arial"/>
                <w:sz w:val="18"/>
                <w:szCs w:val="18"/>
              </w:rPr>
              <w:t xml:space="preserve"> einer GmbH (hier: Marketing-Agentur) entfallende AfA im Einzelfall auch dann angemessen sein, wenn die Anschaffungskosten dieses P</w:t>
            </w:r>
            <w:r w:rsidR="000023E1">
              <w:rPr>
                <w:rFonts w:ascii="Arial" w:hAnsi="Arial" w:cs="Arial"/>
                <w:sz w:val="18"/>
                <w:szCs w:val="18"/>
              </w:rPr>
              <w:t>kw</w:t>
            </w:r>
            <w:r w:rsidRPr="00D143DF">
              <w:rPr>
                <w:rFonts w:ascii="Arial" w:hAnsi="Arial" w:cs="Arial"/>
                <w:sz w:val="18"/>
                <w:szCs w:val="18"/>
              </w:rPr>
              <w:t xml:space="preserve"> (hier: </w:t>
            </w:r>
            <w:r w:rsidRPr="00D143DF">
              <w:rPr>
                <w:rFonts w:ascii="Arial" w:hAnsi="Arial" w:cs="Arial"/>
                <w:sz w:val="18"/>
                <w:szCs w:val="18"/>
                <w:highlight w:val="yellow"/>
              </w:rPr>
              <w:t xml:space="preserve">Lamborghini </w:t>
            </w:r>
            <w:proofErr w:type="spellStart"/>
            <w:r w:rsidRPr="00D143DF">
              <w:rPr>
                <w:rFonts w:ascii="Arial" w:hAnsi="Arial" w:cs="Arial"/>
                <w:sz w:val="18"/>
                <w:szCs w:val="18"/>
                <w:highlight w:val="yellow"/>
              </w:rPr>
              <w:t>Countach</w:t>
            </w:r>
            <w:proofErr w:type="spellEnd"/>
            <w:r w:rsidRPr="00D143DF">
              <w:rPr>
                <w:rFonts w:ascii="Arial" w:hAnsi="Arial" w:cs="Arial"/>
                <w:sz w:val="18"/>
                <w:szCs w:val="18"/>
                <w:highlight w:val="yellow"/>
              </w:rPr>
              <w:t xml:space="preserve">) 165.506 DM zzgl. </w:t>
            </w:r>
            <w:proofErr w:type="spellStart"/>
            <w:r w:rsidRPr="00D143DF">
              <w:rPr>
                <w:rFonts w:ascii="Arial" w:hAnsi="Arial" w:cs="Arial"/>
                <w:sz w:val="18"/>
                <w:szCs w:val="18"/>
                <w:highlight w:val="yellow"/>
              </w:rPr>
              <w:t>USt</w:t>
            </w:r>
            <w:proofErr w:type="spellEnd"/>
            <w:r w:rsidRPr="00D143DF">
              <w:rPr>
                <w:rFonts w:ascii="Arial" w:hAnsi="Arial" w:cs="Arial"/>
                <w:sz w:val="18"/>
                <w:szCs w:val="18"/>
              </w:rPr>
              <w:t xml:space="preserve"> betragen.</w:t>
            </w:r>
          </w:p>
        </w:tc>
        <w:tc>
          <w:tcPr>
            <w:tcW w:w="1499" w:type="dxa"/>
          </w:tcPr>
          <w:p w14:paraId="50A4D711" w14:textId="7F22A306" w:rsidR="00691759" w:rsidRPr="00D143DF" w:rsidRDefault="002B7A1C" w:rsidP="00740C0C">
            <w:pPr>
              <w:spacing w:before="40" w:after="40"/>
              <w:rPr>
                <w:rFonts w:ascii="Arial" w:hAnsi="Arial" w:cs="Arial"/>
                <w:sz w:val="18"/>
                <w:szCs w:val="18"/>
              </w:rPr>
            </w:pPr>
            <w:r w:rsidRPr="00D143DF">
              <w:rPr>
                <w:rFonts w:ascii="Arial" w:hAnsi="Arial" w:cs="Arial"/>
                <w:sz w:val="18"/>
                <w:szCs w:val="18"/>
              </w:rPr>
              <w:t>FG Hamburg</w:t>
            </w:r>
            <w:r w:rsidR="000023E1">
              <w:rPr>
                <w:rFonts w:ascii="Arial" w:hAnsi="Arial" w:cs="Arial"/>
                <w:sz w:val="18"/>
                <w:szCs w:val="18"/>
              </w:rPr>
              <w:t>, Urt.</w:t>
            </w:r>
            <w:r w:rsidRPr="00D143DF">
              <w:rPr>
                <w:rFonts w:ascii="Arial" w:hAnsi="Arial" w:cs="Arial"/>
                <w:sz w:val="18"/>
                <w:szCs w:val="18"/>
              </w:rPr>
              <w:t xml:space="preserve"> v. 15.</w:t>
            </w:r>
            <w:r w:rsidR="000023E1">
              <w:rPr>
                <w:rFonts w:ascii="Arial" w:hAnsi="Arial" w:cs="Arial"/>
                <w:sz w:val="18"/>
                <w:szCs w:val="18"/>
              </w:rPr>
              <w:t>0</w:t>
            </w:r>
            <w:r w:rsidRPr="00D143DF">
              <w:rPr>
                <w:rFonts w:ascii="Arial" w:hAnsi="Arial" w:cs="Arial"/>
                <w:sz w:val="18"/>
                <w:szCs w:val="18"/>
              </w:rPr>
              <w:t>6.1987</w:t>
            </w:r>
            <w:r w:rsidR="000023E1">
              <w:rPr>
                <w:rFonts w:ascii="Arial" w:hAnsi="Arial" w:cs="Arial"/>
                <w:sz w:val="18"/>
                <w:szCs w:val="18"/>
              </w:rPr>
              <w:t xml:space="preserve"> –</w:t>
            </w:r>
            <w:r w:rsidRPr="00D143DF">
              <w:rPr>
                <w:rFonts w:ascii="Arial" w:hAnsi="Arial" w:cs="Arial"/>
                <w:sz w:val="18"/>
                <w:szCs w:val="18"/>
              </w:rPr>
              <w:t xml:space="preserve"> II 90/85; </w:t>
            </w:r>
            <w:proofErr w:type="spellStart"/>
            <w:r w:rsidRPr="00D143DF">
              <w:rPr>
                <w:rFonts w:ascii="Arial" w:hAnsi="Arial" w:cs="Arial"/>
                <w:sz w:val="18"/>
                <w:szCs w:val="18"/>
              </w:rPr>
              <w:t>rkr</w:t>
            </w:r>
            <w:proofErr w:type="spellEnd"/>
            <w:r w:rsidRPr="00D143DF">
              <w:rPr>
                <w:rFonts w:ascii="Arial" w:hAnsi="Arial" w:cs="Arial"/>
                <w:sz w:val="18"/>
                <w:szCs w:val="18"/>
              </w:rPr>
              <w:t xml:space="preserve">. durch Rücknahme der Revision. EFG 1987, 543; </w:t>
            </w:r>
            <w:proofErr w:type="spellStart"/>
            <w:r w:rsidRPr="00D143DF">
              <w:rPr>
                <w:rFonts w:ascii="Arial" w:hAnsi="Arial" w:cs="Arial"/>
                <w:sz w:val="18"/>
                <w:szCs w:val="18"/>
              </w:rPr>
              <w:t>Lexinform</w:t>
            </w:r>
            <w:proofErr w:type="spellEnd"/>
            <w:r w:rsidRPr="00D143DF">
              <w:rPr>
                <w:rFonts w:ascii="Arial" w:hAnsi="Arial" w:cs="Arial"/>
                <w:sz w:val="18"/>
                <w:szCs w:val="18"/>
              </w:rPr>
              <w:t xml:space="preserve"> </w:t>
            </w:r>
            <w:proofErr w:type="spellStart"/>
            <w:r w:rsidRPr="00D143DF">
              <w:rPr>
                <w:rFonts w:ascii="Arial" w:hAnsi="Arial" w:cs="Arial"/>
                <w:sz w:val="18"/>
                <w:szCs w:val="18"/>
              </w:rPr>
              <w:t>Dok</w:t>
            </w:r>
            <w:proofErr w:type="spellEnd"/>
            <w:r w:rsidRPr="00D143DF">
              <w:rPr>
                <w:rFonts w:ascii="Arial" w:hAnsi="Arial" w:cs="Arial"/>
                <w:sz w:val="18"/>
                <w:szCs w:val="18"/>
              </w:rPr>
              <w:t>.-Nr.: 0079868</w:t>
            </w:r>
          </w:p>
        </w:tc>
        <w:tc>
          <w:tcPr>
            <w:tcW w:w="1413" w:type="dxa"/>
          </w:tcPr>
          <w:p w14:paraId="5EDB8762" w14:textId="77777777" w:rsidR="00691759" w:rsidRPr="00D143DF" w:rsidRDefault="00A202CF" w:rsidP="00740C0C">
            <w:pPr>
              <w:spacing w:before="40" w:after="40"/>
              <w:jc w:val="center"/>
              <w:rPr>
                <w:rFonts w:ascii="Arial" w:hAnsi="Arial" w:cs="Arial"/>
                <w:sz w:val="18"/>
                <w:szCs w:val="18"/>
              </w:rPr>
            </w:pPr>
            <w:r w:rsidRPr="00D143DF">
              <w:rPr>
                <w:rFonts w:ascii="Arial" w:hAnsi="Arial" w:cs="Arial"/>
                <w:sz w:val="18"/>
                <w:szCs w:val="18"/>
              </w:rPr>
              <w:t>+++</w:t>
            </w:r>
          </w:p>
        </w:tc>
        <w:tc>
          <w:tcPr>
            <w:tcW w:w="688" w:type="dxa"/>
          </w:tcPr>
          <w:p w14:paraId="26E59D22" w14:textId="77777777" w:rsidR="00D143DF" w:rsidRDefault="00D143DF" w:rsidP="00740C0C">
            <w:pPr>
              <w:spacing w:before="40" w:after="40"/>
              <w:jc w:val="center"/>
              <w:rPr>
                <w:rFonts w:ascii="Arial" w:hAnsi="Arial" w:cs="Arial"/>
                <w:sz w:val="18"/>
                <w:szCs w:val="18"/>
              </w:rPr>
            </w:pPr>
          </w:p>
          <w:p w14:paraId="51C9F5B8" w14:textId="77777777" w:rsidR="00D143DF" w:rsidRDefault="00D143DF" w:rsidP="00740C0C">
            <w:pPr>
              <w:spacing w:before="40" w:after="40"/>
              <w:jc w:val="center"/>
              <w:rPr>
                <w:rFonts w:ascii="Arial" w:hAnsi="Arial" w:cs="Arial"/>
                <w:sz w:val="18"/>
                <w:szCs w:val="18"/>
              </w:rPr>
            </w:pPr>
          </w:p>
          <w:p w14:paraId="4BE481EA" w14:textId="77777777" w:rsidR="00691759"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c>
          <w:tcPr>
            <w:tcW w:w="694" w:type="dxa"/>
          </w:tcPr>
          <w:p w14:paraId="1858C155" w14:textId="77777777" w:rsidR="00D143DF" w:rsidRDefault="00D143DF" w:rsidP="00740C0C">
            <w:pPr>
              <w:spacing w:before="40" w:after="40"/>
              <w:jc w:val="center"/>
              <w:rPr>
                <w:rFonts w:ascii="Arial" w:hAnsi="Arial" w:cs="Arial"/>
                <w:sz w:val="18"/>
                <w:szCs w:val="18"/>
              </w:rPr>
            </w:pPr>
          </w:p>
          <w:p w14:paraId="1FFD8CC2" w14:textId="77777777" w:rsidR="00D143DF" w:rsidRDefault="00D143DF" w:rsidP="00740C0C">
            <w:pPr>
              <w:spacing w:before="40" w:after="40"/>
              <w:jc w:val="center"/>
              <w:rPr>
                <w:rFonts w:ascii="Arial" w:hAnsi="Arial" w:cs="Arial"/>
                <w:sz w:val="18"/>
                <w:szCs w:val="18"/>
              </w:rPr>
            </w:pPr>
          </w:p>
          <w:p w14:paraId="5D0DAEC3" w14:textId="77777777" w:rsidR="00691759"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r>
      <w:tr w:rsidR="00D54DF2" w:rsidRPr="00D143DF" w14:paraId="7B2F10A5" w14:textId="77777777" w:rsidTr="00462DF1">
        <w:tc>
          <w:tcPr>
            <w:tcW w:w="2258" w:type="dxa"/>
          </w:tcPr>
          <w:p w14:paraId="382E94C2" w14:textId="77777777" w:rsidR="00691759" w:rsidRPr="00D143DF" w:rsidRDefault="002B7A1C" w:rsidP="00740C0C">
            <w:pPr>
              <w:spacing w:before="40" w:after="40"/>
              <w:rPr>
                <w:rFonts w:ascii="Arial" w:hAnsi="Arial" w:cs="Arial"/>
                <w:sz w:val="18"/>
                <w:szCs w:val="18"/>
              </w:rPr>
            </w:pPr>
            <w:r w:rsidRPr="00D143DF">
              <w:rPr>
                <w:rFonts w:ascii="Arial" w:hAnsi="Arial" w:cs="Arial"/>
                <w:sz w:val="18"/>
                <w:szCs w:val="18"/>
              </w:rPr>
              <w:t>Beurteilungskriterien für die Angemessenheit</w:t>
            </w:r>
          </w:p>
        </w:tc>
        <w:tc>
          <w:tcPr>
            <w:tcW w:w="3297" w:type="dxa"/>
          </w:tcPr>
          <w:p w14:paraId="6E0D9809" w14:textId="55950860" w:rsidR="00A202CF" w:rsidRPr="00D143DF" w:rsidRDefault="002B7A1C" w:rsidP="00740C0C">
            <w:pPr>
              <w:spacing w:before="40" w:after="40"/>
              <w:rPr>
                <w:rFonts w:ascii="Arial" w:hAnsi="Arial" w:cs="Arial"/>
                <w:sz w:val="18"/>
                <w:szCs w:val="18"/>
              </w:rPr>
            </w:pPr>
            <w:r w:rsidRPr="00D143DF">
              <w:rPr>
                <w:rFonts w:ascii="Arial" w:hAnsi="Arial" w:cs="Arial"/>
                <w:sz w:val="18"/>
                <w:szCs w:val="18"/>
              </w:rPr>
              <w:t xml:space="preserve">Bei der Prüfung der Angemessenheit von Aufwendungen </w:t>
            </w:r>
            <w:proofErr w:type="spellStart"/>
            <w:r w:rsidRPr="00D143DF">
              <w:rPr>
                <w:rFonts w:ascii="Arial" w:hAnsi="Arial" w:cs="Arial"/>
                <w:sz w:val="18"/>
                <w:szCs w:val="18"/>
              </w:rPr>
              <w:t>i.S.d</w:t>
            </w:r>
            <w:proofErr w:type="spellEnd"/>
            <w:r w:rsidR="000023E1">
              <w:rPr>
                <w:rFonts w:ascii="Arial" w:hAnsi="Arial" w:cs="Arial"/>
                <w:sz w:val="18"/>
                <w:szCs w:val="18"/>
              </w:rPr>
              <w:t>.</w:t>
            </w:r>
            <w:r w:rsidRPr="00D143DF">
              <w:rPr>
                <w:rFonts w:ascii="Arial" w:hAnsi="Arial" w:cs="Arial"/>
                <w:sz w:val="18"/>
                <w:szCs w:val="18"/>
              </w:rPr>
              <w:t xml:space="preserve"> § 4 Abs. 5 Nr. </w:t>
            </w:r>
            <w:r w:rsidRPr="00D143DF">
              <w:rPr>
                <w:rFonts w:ascii="Arial" w:hAnsi="Arial" w:cs="Arial"/>
                <w:sz w:val="18"/>
                <w:szCs w:val="18"/>
                <w:highlight w:val="yellow"/>
              </w:rPr>
              <w:t>7</w:t>
            </w:r>
            <w:r w:rsidRPr="00D143DF">
              <w:rPr>
                <w:rFonts w:ascii="Arial" w:hAnsi="Arial" w:cs="Arial"/>
                <w:sz w:val="18"/>
                <w:szCs w:val="18"/>
              </w:rPr>
              <w:t xml:space="preserve"> EStG sind neben der </w:t>
            </w:r>
          </w:p>
          <w:p w14:paraId="1A8E8F00" w14:textId="77777777" w:rsidR="00A202CF" w:rsidRPr="00D143DF" w:rsidRDefault="002B7A1C" w:rsidP="00740C0C">
            <w:pPr>
              <w:pStyle w:val="Listenabsatz"/>
              <w:numPr>
                <w:ilvl w:val="0"/>
                <w:numId w:val="4"/>
              </w:numPr>
              <w:spacing w:before="40" w:after="40"/>
              <w:rPr>
                <w:rFonts w:ascii="Arial" w:hAnsi="Arial" w:cs="Arial"/>
                <w:sz w:val="18"/>
                <w:szCs w:val="18"/>
              </w:rPr>
            </w:pPr>
            <w:r w:rsidRPr="00D143DF">
              <w:rPr>
                <w:rFonts w:ascii="Arial" w:hAnsi="Arial" w:cs="Arial"/>
                <w:b/>
                <w:sz w:val="18"/>
                <w:szCs w:val="18"/>
              </w:rPr>
              <w:t>Größe des Unternehmens</w:t>
            </w:r>
            <w:r w:rsidRPr="00D143DF">
              <w:rPr>
                <w:rFonts w:ascii="Arial" w:hAnsi="Arial" w:cs="Arial"/>
                <w:sz w:val="18"/>
                <w:szCs w:val="18"/>
              </w:rPr>
              <w:t xml:space="preserve"> und der </w:t>
            </w:r>
          </w:p>
          <w:p w14:paraId="6A10C50B" w14:textId="77777777" w:rsidR="00A202CF" w:rsidRPr="00D143DF" w:rsidRDefault="002B7A1C" w:rsidP="00740C0C">
            <w:pPr>
              <w:pStyle w:val="Listenabsatz"/>
              <w:numPr>
                <w:ilvl w:val="0"/>
                <w:numId w:val="4"/>
              </w:numPr>
              <w:spacing w:before="40" w:after="40"/>
              <w:rPr>
                <w:rFonts w:ascii="Arial" w:hAnsi="Arial" w:cs="Arial"/>
                <w:sz w:val="18"/>
                <w:szCs w:val="18"/>
              </w:rPr>
            </w:pPr>
            <w:r w:rsidRPr="00D143DF">
              <w:rPr>
                <w:rFonts w:ascii="Arial" w:hAnsi="Arial" w:cs="Arial"/>
                <w:b/>
                <w:sz w:val="18"/>
                <w:szCs w:val="18"/>
              </w:rPr>
              <w:t>Höhe von Umsatz und Gewinn</w:t>
            </w:r>
            <w:r w:rsidRPr="00D143DF">
              <w:rPr>
                <w:rFonts w:ascii="Arial" w:hAnsi="Arial" w:cs="Arial"/>
                <w:sz w:val="18"/>
                <w:szCs w:val="18"/>
              </w:rPr>
              <w:t xml:space="preserve"> vor allem die</w:t>
            </w:r>
          </w:p>
          <w:p w14:paraId="2064333B" w14:textId="77777777" w:rsidR="00A202CF" w:rsidRPr="00D143DF" w:rsidRDefault="002B7A1C" w:rsidP="00740C0C">
            <w:pPr>
              <w:pStyle w:val="Listenabsatz"/>
              <w:numPr>
                <w:ilvl w:val="0"/>
                <w:numId w:val="4"/>
              </w:numPr>
              <w:spacing w:before="40" w:after="40"/>
              <w:rPr>
                <w:rFonts w:ascii="Arial" w:hAnsi="Arial" w:cs="Arial"/>
                <w:sz w:val="18"/>
                <w:szCs w:val="18"/>
              </w:rPr>
            </w:pPr>
            <w:r w:rsidRPr="00D143DF">
              <w:rPr>
                <w:rFonts w:ascii="Arial" w:hAnsi="Arial" w:cs="Arial"/>
                <w:b/>
                <w:sz w:val="18"/>
                <w:szCs w:val="18"/>
              </w:rPr>
              <w:t>Bedeutung des Repräsentations</w:t>
            </w:r>
            <w:r w:rsidR="00A202CF" w:rsidRPr="00D143DF">
              <w:rPr>
                <w:rFonts w:ascii="Arial" w:hAnsi="Arial" w:cs="Arial"/>
                <w:b/>
                <w:sz w:val="18"/>
                <w:szCs w:val="18"/>
              </w:rPr>
              <w:t>-</w:t>
            </w:r>
            <w:r w:rsidRPr="00D143DF">
              <w:rPr>
                <w:rFonts w:ascii="Arial" w:hAnsi="Arial" w:cs="Arial"/>
                <w:b/>
                <w:sz w:val="18"/>
                <w:szCs w:val="18"/>
              </w:rPr>
              <w:t>aufwandes für den Geschäftserfolg</w:t>
            </w:r>
            <w:r w:rsidRPr="00D143DF">
              <w:rPr>
                <w:rFonts w:ascii="Arial" w:hAnsi="Arial" w:cs="Arial"/>
                <w:sz w:val="18"/>
                <w:szCs w:val="18"/>
              </w:rPr>
              <w:t xml:space="preserve"> </w:t>
            </w:r>
          </w:p>
          <w:p w14:paraId="3F0E180E" w14:textId="31C05C8E" w:rsidR="00691759" w:rsidRPr="00D143DF" w:rsidRDefault="002B7A1C" w:rsidP="00740C0C">
            <w:pPr>
              <w:spacing w:before="40" w:after="40"/>
              <w:rPr>
                <w:rFonts w:ascii="Arial" w:hAnsi="Arial" w:cs="Arial"/>
                <w:sz w:val="18"/>
                <w:szCs w:val="18"/>
              </w:rPr>
            </w:pPr>
            <w:r w:rsidRPr="00D143DF">
              <w:rPr>
                <w:rFonts w:ascii="Arial" w:hAnsi="Arial" w:cs="Arial"/>
                <w:sz w:val="18"/>
                <w:szCs w:val="18"/>
              </w:rPr>
              <w:t>als Beurteilungskriterien heranzuziehen</w:t>
            </w:r>
            <w:r w:rsidR="00A202CF" w:rsidRPr="00D143DF">
              <w:rPr>
                <w:rFonts w:ascii="Arial" w:hAnsi="Arial" w:cs="Arial"/>
                <w:sz w:val="18"/>
                <w:szCs w:val="18"/>
              </w:rPr>
              <w:t xml:space="preserve"> (hier: Orientteppiche)</w:t>
            </w:r>
            <w:r w:rsidR="000023E1">
              <w:rPr>
                <w:rFonts w:ascii="Arial" w:hAnsi="Arial" w:cs="Arial"/>
                <w:sz w:val="18"/>
                <w:szCs w:val="18"/>
              </w:rPr>
              <w:t>.</w:t>
            </w:r>
          </w:p>
        </w:tc>
        <w:tc>
          <w:tcPr>
            <w:tcW w:w="1499" w:type="dxa"/>
          </w:tcPr>
          <w:p w14:paraId="1ABD9EB7" w14:textId="64FF729B" w:rsidR="00691759" w:rsidRPr="00D143DF" w:rsidRDefault="002B7A1C" w:rsidP="00740C0C">
            <w:pPr>
              <w:spacing w:before="40" w:after="40"/>
              <w:rPr>
                <w:rFonts w:ascii="Arial" w:hAnsi="Arial" w:cs="Arial"/>
                <w:sz w:val="18"/>
                <w:szCs w:val="18"/>
              </w:rPr>
            </w:pPr>
            <w:r w:rsidRPr="00D143DF">
              <w:rPr>
                <w:rFonts w:ascii="Arial" w:hAnsi="Arial" w:cs="Arial"/>
                <w:sz w:val="18"/>
                <w:szCs w:val="18"/>
              </w:rPr>
              <w:t>BFH</w:t>
            </w:r>
            <w:r w:rsidR="000023E1">
              <w:rPr>
                <w:rFonts w:ascii="Arial" w:hAnsi="Arial" w:cs="Arial"/>
                <w:sz w:val="18"/>
                <w:szCs w:val="18"/>
              </w:rPr>
              <w:t xml:space="preserve">, </w:t>
            </w:r>
            <w:r w:rsidRPr="00D143DF">
              <w:rPr>
                <w:rFonts w:ascii="Arial" w:hAnsi="Arial" w:cs="Arial"/>
                <w:sz w:val="18"/>
                <w:szCs w:val="18"/>
              </w:rPr>
              <w:t>Urt</w:t>
            </w:r>
            <w:r w:rsidR="000023E1">
              <w:rPr>
                <w:rFonts w:ascii="Arial" w:hAnsi="Arial" w:cs="Arial"/>
                <w:sz w:val="18"/>
                <w:szCs w:val="18"/>
              </w:rPr>
              <w:t>.</w:t>
            </w:r>
            <w:r w:rsidRPr="00D143DF">
              <w:rPr>
                <w:rFonts w:ascii="Arial" w:hAnsi="Arial" w:cs="Arial"/>
                <w:sz w:val="18"/>
                <w:szCs w:val="18"/>
              </w:rPr>
              <w:t xml:space="preserve"> v</w:t>
            </w:r>
            <w:r w:rsidR="000023E1">
              <w:rPr>
                <w:rFonts w:ascii="Arial" w:hAnsi="Arial" w:cs="Arial"/>
                <w:sz w:val="18"/>
                <w:szCs w:val="18"/>
              </w:rPr>
              <w:t>.</w:t>
            </w:r>
            <w:r w:rsidRPr="00D143DF">
              <w:rPr>
                <w:rFonts w:ascii="Arial" w:hAnsi="Arial" w:cs="Arial"/>
                <w:sz w:val="18"/>
                <w:szCs w:val="18"/>
              </w:rPr>
              <w:t xml:space="preserve"> 20.</w:t>
            </w:r>
            <w:r w:rsidR="000023E1">
              <w:rPr>
                <w:rFonts w:ascii="Arial" w:hAnsi="Arial" w:cs="Arial"/>
                <w:sz w:val="18"/>
                <w:szCs w:val="18"/>
              </w:rPr>
              <w:t>08.</w:t>
            </w:r>
            <w:r w:rsidRPr="00D143DF">
              <w:rPr>
                <w:rFonts w:ascii="Arial" w:hAnsi="Arial" w:cs="Arial"/>
                <w:sz w:val="18"/>
                <w:szCs w:val="18"/>
              </w:rPr>
              <w:t xml:space="preserve">1986 </w:t>
            </w:r>
            <w:r w:rsidR="000023E1">
              <w:rPr>
                <w:rFonts w:ascii="Arial" w:hAnsi="Arial" w:cs="Arial"/>
                <w:sz w:val="18"/>
                <w:szCs w:val="18"/>
              </w:rPr>
              <w:t xml:space="preserve">– </w:t>
            </w:r>
            <w:r w:rsidRPr="00D143DF">
              <w:rPr>
                <w:rFonts w:ascii="Arial" w:hAnsi="Arial" w:cs="Arial"/>
                <w:sz w:val="18"/>
                <w:szCs w:val="18"/>
              </w:rPr>
              <w:t xml:space="preserve">I R 80/83, </w:t>
            </w:r>
            <w:proofErr w:type="spellStart"/>
            <w:r w:rsidRPr="00D143DF">
              <w:rPr>
                <w:rFonts w:ascii="Arial" w:hAnsi="Arial" w:cs="Arial"/>
                <w:sz w:val="18"/>
                <w:szCs w:val="18"/>
              </w:rPr>
              <w:t>BStBl</w:t>
            </w:r>
            <w:proofErr w:type="spellEnd"/>
            <w:r w:rsidRPr="00D143DF">
              <w:rPr>
                <w:rFonts w:ascii="Arial" w:hAnsi="Arial" w:cs="Arial"/>
                <w:sz w:val="18"/>
                <w:szCs w:val="18"/>
              </w:rPr>
              <w:t xml:space="preserve"> II 1986, 904</w:t>
            </w:r>
            <w:r w:rsidR="00A202CF" w:rsidRPr="00D143DF">
              <w:rPr>
                <w:rFonts w:ascii="Arial" w:hAnsi="Arial" w:cs="Arial"/>
                <w:sz w:val="18"/>
                <w:szCs w:val="18"/>
              </w:rPr>
              <w:t>.</w:t>
            </w:r>
          </w:p>
        </w:tc>
        <w:tc>
          <w:tcPr>
            <w:tcW w:w="1413" w:type="dxa"/>
          </w:tcPr>
          <w:p w14:paraId="777E8CD9" w14:textId="77777777" w:rsidR="00691759" w:rsidRPr="00D143DF" w:rsidRDefault="00691759" w:rsidP="00740C0C">
            <w:pPr>
              <w:spacing w:before="40" w:after="40"/>
              <w:jc w:val="center"/>
              <w:rPr>
                <w:rFonts w:ascii="Arial" w:hAnsi="Arial" w:cs="Arial"/>
                <w:sz w:val="18"/>
                <w:szCs w:val="18"/>
              </w:rPr>
            </w:pPr>
          </w:p>
        </w:tc>
        <w:tc>
          <w:tcPr>
            <w:tcW w:w="688" w:type="dxa"/>
          </w:tcPr>
          <w:p w14:paraId="4CEE4DC7" w14:textId="77777777" w:rsidR="00D143DF" w:rsidRDefault="00D143DF" w:rsidP="00740C0C">
            <w:pPr>
              <w:spacing w:before="40" w:after="40"/>
              <w:jc w:val="center"/>
              <w:rPr>
                <w:rFonts w:ascii="Arial" w:hAnsi="Arial" w:cs="Arial"/>
                <w:sz w:val="18"/>
                <w:szCs w:val="18"/>
              </w:rPr>
            </w:pPr>
          </w:p>
          <w:p w14:paraId="6D2AA953" w14:textId="77777777" w:rsidR="00D143DF" w:rsidRDefault="00D143DF" w:rsidP="00740C0C">
            <w:pPr>
              <w:spacing w:before="40" w:after="40"/>
              <w:jc w:val="center"/>
              <w:rPr>
                <w:rFonts w:ascii="Arial" w:hAnsi="Arial" w:cs="Arial"/>
                <w:sz w:val="18"/>
                <w:szCs w:val="18"/>
              </w:rPr>
            </w:pPr>
          </w:p>
          <w:p w14:paraId="18AED3C9" w14:textId="77777777" w:rsidR="00691759"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c>
          <w:tcPr>
            <w:tcW w:w="694" w:type="dxa"/>
          </w:tcPr>
          <w:p w14:paraId="05FF789A" w14:textId="77777777" w:rsidR="00D143DF" w:rsidRDefault="00D143DF" w:rsidP="00740C0C">
            <w:pPr>
              <w:spacing w:before="40" w:after="40"/>
              <w:jc w:val="center"/>
              <w:rPr>
                <w:rFonts w:ascii="Arial" w:hAnsi="Arial" w:cs="Arial"/>
                <w:sz w:val="18"/>
                <w:szCs w:val="18"/>
              </w:rPr>
            </w:pPr>
          </w:p>
          <w:p w14:paraId="34C2505D" w14:textId="77777777" w:rsidR="00D143DF" w:rsidRDefault="00D143DF" w:rsidP="00740C0C">
            <w:pPr>
              <w:spacing w:before="40" w:after="40"/>
              <w:jc w:val="center"/>
              <w:rPr>
                <w:rFonts w:ascii="Arial" w:hAnsi="Arial" w:cs="Arial"/>
                <w:sz w:val="18"/>
                <w:szCs w:val="18"/>
              </w:rPr>
            </w:pPr>
          </w:p>
          <w:p w14:paraId="1D91BDE7" w14:textId="77777777" w:rsidR="00691759"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r>
      <w:tr w:rsidR="00D54DF2" w:rsidRPr="00D143DF" w14:paraId="2E2EEB7C" w14:textId="77777777" w:rsidTr="00462DF1">
        <w:tc>
          <w:tcPr>
            <w:tcW w:w="2258" w:type="dxa"/>
          </w:tcPr>
          <w:p w14:paraId="579E7FF4" w14:textId="77777777" w:rsidR="00691759" w:rsidRPr="00D143DF" w:rsidRDefault="00A202CF" w:rsidP="00740C0C">
            <w:pPr>
              <w:spacing w:before="40" w:after="40"/>
              <w:rPr>
                <w:rFonts w:ascii="Arial" w:hAnsi="Arial" w:cs="Arial"/>
                <w:sz w:val="18"/>
                <w:szCs w:val="18"/>
              </w:rPr>
            </w:pPr>
            <w:r w:rsidRPr="00D143DF">
              <w:rPr>
                <w:rFonts w:ascii="Arial" w:hAnsi="Arial" w:cs="Arial"/>
                <w:sz w:val="18"/>
                <w:szCs w:val="18"/>
              </w:rPr>
              <w:t>nachweisliche Eröffnung konkreter Geschäftschancen</w:t>
            </w:r>
          </w:p>
        </w:tc>
        <w:tc>
          <w:tcPr>
            <w:tcW w:w="3297" w:type="dxa"/>
          </w:tcPr>
          <w:p w14:paraId="769F90C6" w14:textId="77777777" w:rsidR="00A202CF" w:rsidRPr="00D143DF" w:rsidRDefault="00A202CF" w:rsidP="00740C0C">
            <w:pPr>
              <w:spacing w:before="40" w:after="40"/>
              <w:rPr>
                <w:rFonts w:ascii="Arial" w:hAnsi="Arial" w:cs="Arial"/>
                <w:sz w:val="18"/>
                <w:szCs w:val="18"/>
              </w:rPr>
            </w:pPr>
            <w:r w:rsidRPr="00D143DF">
              <w:rPr>
                <w:rFonts w:ascii="Arial" w:hAnsi="Arial" w:cs="Arial"/>
                <w:sz w:val="18"/>
                <w:szCs w:val="18"/>
              </w:rPr>
              <w:t>Maßgebend für den Umfang der unternehmerischen Nutzung eines Gegenstands nach § 15 Abs. 1 Satz 2 UStG ist die ernsthafte Nutzungsabsicht des Unternehmers im Erwerbszeitpunkt. Die spätere tatsächliche Nutzung ist ein Beweisanzeichen für die Absicht bei Erwerb.</w:t>
            </w:r>
          </w:p>
          <w:p w14:paraId="6281F3AA" w14:textId="77777777" w:rsidR="00A202CF" w:rsidRPr="00D143DF" w:rsidRDefault="00A202CF" w:rsidP="00740C0C">
            <w:pPr>
              <w:spacing w:before="40" w:after="40"/>
              <w:rPr>
                <w:rFonts w:ascii="Arial" w:hAnsi="Arial" w:cs="Arial"/>
                <w:sz w:val="18"/>
                <w:szCs w:val="18"/>
              </w:rPr>
            </w:pPr>
          </w:p>
          <w:p w14:paraId="2E6DA4CA" w14:textId="1A281A64" w:rsidR="00691759" w:rsidRPr="00D143DF" w:rsidRDefault="00A202CF" w:rsidP="00740C0C">
            <w:pPr>
              <w:spacing w:before="40" w:after="40"/>
              <w:rPr>
                <w:rFonts w:ascii="Arial" w:hAnsi="Arial" w:cs="Arial"/>
                <w:sz w:val="18"/>
                <w:szCs w:val="18"/>
              </w:rPr>
            </w:pPr>
            <w:r w:rsidRPr="00D143DF">
              <w:rPr>
                <w:rFonts w:ascii="Arial" w:hAnsi="Arial" w:cs="Arial"/>
                <w:sz w:val="18"/>
                <w:szCs w:val="18"/>
              </w:rPr>
              <w:t>Trotz des mit dem Erwerb eines Luxussportwagens (</w:t>
            </w:r>
            <w:r w:rsidRPr="00D143DF">
              <w:rPr>
                <w:rFonts w:ascii="Arial" w:hAnsi="Arial" w:cs="Arial"/>
                <w:sz w:val="18"/>
                <w:szCs w:val="18"/>
                <w:highlight w:val="yellow"/>
              </w:rPr>
              <w:t>Ferrari</w:t>
            </w:r>
            <w:r w:rsidR="00E74EE4" w:rsidRPr="00D143DF">
              <w:rPr>
                <w:rFonts w:ascii="Arial" w:hAnsi="Arial" w:cs="Arial"/>
                <w:sz w:val="18"/>
                <w:szCs w:val="18"/>
                <w:highlight w:val="yellow"/>
              </w:rPr>
              <w:t xml:space="preserve"> California bzw. Spider nach </w:t>
            </w:r>
            <w:r w:rsidR="000023E1">
              <w:rPr>
                <w:rFonts w:ascii="Arial" w:hAnsi="Arial" w:cs="Arial"/>
                <w:sz w:val="18"/>
                <w:szCs w:val="18"/>
                <w:highlight w:val="yellow"/>
              </w:rPr>
              <w:t>zwei</w:t>
            </w:r>
            <w:r w:rsidR="00E74EE4" w:rsidRPr="00D143DF">
              <w:rPr>
                <w:rFonts w:ascii="Arial" w:hAnsi="Arial" w:cs="Arial"/>
                <w:sz w:val="18"/>
                <w:szCs w:val="18"/>
                <w:highlight w:val="yellow"/>
              </w:rPr>
              <w:t xml:space="preserve"> Jahren, KP gebraucht brutto rd. 185.000 € bzw. </w:t>
            </w:r>
            <w:r w:rsidR="00E74EE4" w:rsidRPr="00D143DF">
              <w:rPr>
                <w:rFonts w:ascii="Arial" w:hAnsi="Arial" w:cs="Arial"/>
                <w:sz w:val="18"/>
                <w:szCs w:val="18"/>
                <w:highlight w:val="yellow"/>
              </w:rPr>
              <w:lastRenderedPageBreak/>
              <w:t>135.000 €</w:t>
            </w:r>
            <w:r w:rsidRPr="00D143DF">
              <w:rPr>
                <w:rFonts w:ascii="Arial" w:hAnsi="Arial" w:cs="Arial"/>
                <w:sz w:val="18"/>
                <w:szCs w:val="18"/>
                <w:highlight w:val="yellow"/>
              </w:rPr>
              <w:t>)</w:t>
            </w:r>
            <w:r w:rsidRPr="00D143DF">
              <w:rPr>
                <w:rFonts w:ascii="Arial" w:hAnsi="Arial" w:cs="Arial"/>
                <w:sz w:val="18"/>
                <w:szCs w:val="18"/>
              </w:rPr>
              <w:t xml:space="preserve"> grundsätzlich verbundenen privaten Affektionswertes für den Nutzer und der im Verhältnis zum Umsatz</w:t>
            </w:r>
            <w:r w:rsidR="00E74EE4" w:rsidRPr="00D143DF">
              <w:rPr>
                <w:rFonts w:ascii="Arial" w:hAnsi="Arial" w:cs="Arial"/>
                <w:sz w:val="18"/>
                <w:szCs w:val="18"/>
              </w:rPr>
              <w:t xml:space="preserve"> (im Sinkflug)</w:t>
            </w:r>
            <w:r w:rsidRPr="00D143DF">
              <w:rPr>
                <w:rFonts w:ascii="Arial" w:hAnsi="Arial" w:cs="Arial"/>
                <w:sz w:val="18"/>
                <w:szCs w:val="18"/>
              </w:rPr>
              <w:t xml:space="preserve"> und Gewinn</w:t>
            </w:r>
            <w:r w:rsidR="00E74EE4" w:rsidRPr="00D143DF">
              <w:rPr>
                <w:rFonts w:ascii="Arial" w:hAnsi="Arial" w:cs="Arial"/>
                <w:sz w:val="18"/>
                <w:szCs w:val="18"/>
              </w:rPr>
              <w:t xml:space="preserve"> (zuletzt </w:t>
            </w:r>
            <w:r w:rsidR="000023E1">
              <w:rPr>
                <w:rFonts w:ascii="Arial" w:hAnsi="Arial" w:cs="Arial"/>
                <w:sz w:val="18"/>
                <w:szCs w:val="18"/>
              </w:rPr>
              <w:t>drei</w:t>
            </w:r>
            <w:r w:rsidR="00E74EE4" w:rsidRPr="00D143DF">
              <w:rPr>
                <w:rFonts w:ascii="Arial" w:hAnsi="Arial" w:cs="Arial"/>
                <w:sz w:val="18"/>
                <w:szCs w:val="18"/>
              </w:rPr>
              <w:t xml:space="preserve"> Verlustjahre)</w:t>
            </w:r>
            <w:r w:rsidRPr="00D143DF">
              <w:rPr>
                <w:rFonts w:ascii="Arial" w:hAnsi="Arial" w:cs="Arial"/>
                <w:sz w:val="18"/>
                <w:szCs w:val="18"/>
              </w:rPr>
              <w:t xml:space="preserve"> des Unternehmers hohen Anschaffungskosten ist der Vorsteuerabzug nicht gemäß § 15 Abs. 1a Satz 1 UStG </w:t>
            </w:r>
            <w:proofErr w:type="spellStart"/>
            <w:r w:rsidRPr="00D143DF">
              <w:rPr>
                <w:rFonts w:ascii="Arial" w:hAnsi="Arial" w:cs="Arial"/>
                <w:sz w:val="18"/>
                <w:szCs w:val="18"/>
              </w:rPr>
              <w:t>i.V.m</w:t>
            </w:r>
            <w:proofErr w:type="spellEnd"/>
            <w:r w:rsidRPr="00D143DF">
              <w:rPr>
                <w:rFonts w:ascii="Arial" w:hAnsi="Arial" w:cs="Arial"/>
                <w:sz w:val="18"/>
                <w:szCs w:val="18"/>
              </w:rPr>
              <w:t>. § 4 Abs. 5 Satz 1 Nr. 7 EStG ausgeschlossen, wenn die Anschaffung entsprechend der Erwartung des Unternehmers nachweislich zur Eröffnung substantieller Geschäftschancen geführt hat.</w:t>
            </w:r>
          </w:p>
          <w:p w14:paraId="3F579FAA" w14:textId="77777777" w:rsidR="00D54DF2" w:rsidRPr="00D143DF" w:rsidRDefault="00D54DF2" w:rsidP="00740C0C">
            <w:pPr>
              <w:spacing w:before="40" w:after="40"/>
              <w:rPr>
                <w:rFonts w:ascii="Arial" w:hAnsi="Arial" w:cs="Arial"/>
                <w:sz w:val="18"/>
                <w:szCs w:val="18"/>
              </w:rPr>
            </w:pPr>
          </w:p>
        </w:tc>
        <w:tc>
          <w:tcPr>
            <w:tcW w:w="1499" w:type="dxa"/>
          </w:tcPr>
          <w:p w14:paraId="1F952523" w14:textId="31715545" w:rsidR="00691759" w:rsidRPr="00D143DF" w:rsidRDefault="00D54DF2" w:rsidP="00740C0C">
            <w:pPr>
              <w:spacing w:before="40" w:after="40"/>
              <w:rPr>
                <w:rFonts w:ascii="Arial" w:hAnsi="Arial" w:cs="Arial"/>
                <w:sz w:val="18"/>
                <w:szCs w:val="18"/>
              </w:rPr>
            </w:pPr>
            <w:r w:rsidRPr="00D143DF">
              <w:rPr>
                <w:rFonts w:ascii="Arial" w:hAnsi="Arial" w:cs="Arial"/>
                <w:sz w:val="18"/>
                <w:szCs w:val="18"/>
              </w:rPr>
              <w:lastRenderedPageBreak/>
              <w:t>FG Hamburg,</w:t>
            </w:r>
            <w:r w:rsidR="000023E1">
              <w:rPr>
                <w:rFonts w:ascii="Arial" w:hAnsi="Arial" w:cs="Arial"/>
                <w:sz w:val="18"/>
                <w:szCs w:val="18"/>
              </w:rPr>
              <w:t xml:space="preserve"> Urt. v.</w:t>
            </w:r>
            <w:r w:rsidRPr="00D143DF">
              <w:rPr>
                <w:rFonts w:ascii="Arial" w:hAnsi="Arial" w:cs="Arial"/>
                <w:sz w:val="18"/>
                <w:szCs w:val="18"/>
              </w:rPr>
              <w:t xml:space="preserve"> </w:t>
            </w:r>
            <w:r w:rsidR="000023E1" w:rsidRPr="00D143DF">
              <w:rPr>
                <w:rFonts w:ascii="Arial" w:hAnsi="Arial" w:cs="Arial"/>
                <w:sz w:val="18"/>
                <w:szCs w:val="18"/>
              </w:rPr>
              <w:t>27.9.2018</w:t>
            </w:r>
            <w:r w:rsidR="000023E1">
              <w:rPr>
                <w:rFonts w:ascii="Arial" w:hAnsi="Arial" w:cs="Arial"/>
                <w:sz w:val="18"/>
                <w:szCs w:val="18"/>
              </w:rPr>
              <w:t xml:space="preserve"> – </w:t>
            </w:r>
            <w:r w:rsidRPr="00D143DF">
              <w:rPr>
                <w:rFonts w:ascii="Arial" w:hAnsi="Arial" w:cs="Arial"/>
                <w:sz w:val="18"/>
                <w:szCs w:val="18"/>
              </w:rPr>
              <w:t xml:space="preserve">3 K 96/17, EFG 2019, 135, </w:t>
            </w:r>
            <w:proofErr w:type="spellStart"/>
            <w:r w:rsidRPr="00D143DF">
              <w:rPr>
                <w:rFonts w:ascii="Arial" w:hAnsi="Arial" w:cs="Arial"/>
                <w:sz w:val="18"/>
                <w:szCs w:val="18"/>
              </w:rPr>
              <w:t>rkr</w:t>
            </w:r>
            <w:proofErr w:type="spellEnd"/>
            <w:r w:rsidRPr="00D143DF">
              <w:rPr>
                <w:rFonts w:ascii="Arial" w:hAnsi="Arial" w:cs="Arial"/>
                <w:sz w:val="18"/>
                <w:szCs w:val="18"/>
              </w:rPr>
              <w:t xml:space="preserve"> (</w:t>
            </w:r>
            <w:proofErr w:type="spellStart"/>
            <w:r w:rsidRPr="00D143DF">
              <w:rPr>
                <w:rFonts w:ascii="Arial" w:hAnsi="Arial" w:cs="Arial"/>
                <w:sz w:val="18"/>
                <w:szCs w:val="18"/>
              </w:rPr>
              <w:t>Lexinform</w:t>
            </w:r>
            <w:proofErr w:type="spellEnd"/>
            <w:r w:rsidRPr="00D143DF">
              <w:rPr>
                <w:rFonts w:ascii="Arial" w:hAnsi="Arial" w:cs="Arial"/>
                <w:sz w:val="18"/>
                <w:szCs w:val="18"/>
              </w:rPr>
              <w:t xml:space="preserve"> 5021664)</w:t>
            </w:r>
          </w:p>
          <w:p w14:paraId="37BE642A" w14:textId="77777777" w:rsidR="00D54DF2" w:rsidRPr="00D143DF" w:rsidRDefault="00D54DF2" w:rsidP="00740C0C">
            <w:pPr>
              <w:spacing w:before="40" w:after="40"/>
              <w:rPr>
                <w:rFonts w:ascii="Arial" w:hAnsi="Arial" w:cs="Arial"/>
                <w:sz w:val="18"/>
                <w:szCs w:val="18"/>
              </w:rPr>
            </w:pPr>
          </w:p>
          <w:p w14:paraId="1E157ECB" w14:textId="77777777" w:rsidR="00D54DF2" w:rsidRPr="00D143DF" w:rsidRDefault="00D54DF2" w:rsidP="00740C0C">
            <w:pPr>
              <w:spacing w:before="40" w:after="40"/>
              <w:rPr>
                <w:rFonts w:ascii="Arial" w:hAnsi="Arial" w:cs="Arial"/>
                <w:sz w:val="18"/>
                <w:szCs w:val="18"/>
              </w:rPr>
            </w:pPr>
          </w:p>
          <w:p w14:paraId="39ADFBED" w14:textId="77777777" w:rsidR="00D54DF2" w:rsidRPr="00D143DF" w:rsidRDefault="00D54DF2" w:rsidP="00740C0C">
            <w:pPr>
              <w:spacing w:before="40" w:after="40"/>
              <w:rPr>
                <w:rFonts w:ascii="Arial" w:hAnsi="Arial" w:cs="Arial"/>
                <w:sz w:val="18"/>
                <w:szCs w:val="18"/>
              </w:rPr>
            </w:pPr>
          </w:p>
          <w:p w14:paraId="62A68631" w14:textId="77777777" w:rsidR="00D54DF2" w:rsidRPr="00D143DF" w:rsidRDefault="00D54DF2" w:rsidP="00740C0C">
            <w:pPr>
              <w:spacing w:before="40" w:after="40"/>
              <w:rPr>
                <w:rFonts w:ascii="Arial" w:hAnsi="Arial" w:cs="Arial"/>
                <w:sz w:val="18"/>
                <w:szCs w:val="18"/>
              </w:rPr>
            </w:pPr>
            <w:r w:rsidRPr="00D143DF">
              <w:rPr>
                <w:rFonts w:ascii="Arial" w:hAnsi="Arial" w:cs="Arial"/>
                <w:sz w:val="18"/>
                <w:szCs w:val="18"/>
              </w:rPr>
              <w:t>Im vorliegenden Fall:</w:t>
            </w:r>
          </w:p>
          <w:p w14:paraId="2976F080" w14:textId="77777777" w:rsidR="00D54DF2" w:rsidRPr="00D143DF" w:rsidRDefault="00D54DF2" w:rsidP="00740C0C">
            <w:pPr>
              <w:spacing w:before="40" w:after="40"/>
              <w:rPr>
                <w:rFonts w:ascii="Arial" w:hAnsi="Arial" w:cs="Arial"/>
                <w:sz w:val="16"/>
                <w:szCs w:val="16"/>
              </w:rPr>
            </w:pPr>
            <w:r w:rsidRPr="00D143DF">
              <w:rPr>
                <w:rFonts w:ascii="Arial" w:hAnsi="Arial" w:cs="Arial"/>
                <w:sz w:val="16"/>
                <w:szCs w:val="16"/>
              </w:rPr>
              <w:t>Vertrieb Windenergieanlagen</w:t>
            </w:r>
          </w:p>
          <w:p w14:paraId="52F52B27" w14:textId="77777777" w:rsidR="00D54DF2" w:rsidRPr="00D143DF" w:rsidRDefault="00D54DF2" w:rsidP="00740C0C">
            <w:pPr>
              <w:spacing w:before="40" w:after="40"/>
              <w:rPr>
                <w:rFonts w:ascii="Arial" w:hAnsi="Arial" w:cs="Arial"/>
                <w:sz w:val="16"/>
                <w:szCs w:val="16"/>
              </w:rPr>
            </w:pPr>
            <w:r w:rsidRPr="00D143DF">
              <w:rPr>
                <w:rFonts w:ascii="Arial" w:hAnsi="Arial" w:cs="Arial"/>
                <w:sz w:val="16"/>
                <w:szCs w:val="16"/>
              </w:rPr>
              <w:t xml:space="preserve">Verlust wegen </w:t>
            </w:r>
            <w:r w:rsidRPr="00D143DF">
              <w:rPr>
                <w:rFonts w:ascii="Arial" w:hAnsi="Arial" w:cs="Arial"/>
                <w:sz w:val="16"/>
                <w:szCs w:val="16"/>
              </w:rPr>
              <w:lastRenderedPageBreak/>
              <w:t>Honorarausfall 900.000 €</w:t>
            </w:r>
          </w:p>
          <w:p w14:paraId="22854A0A" w14:textId="1431C5FE" w:rsidR="00D54DF2" w:rsidRPr="00D143DF" w:rsidRDefault="00D54DF2" w:rsidP="00740C0C">
            <w:pPr>
              <w:spacing w:before="40" w:after="40"/>
              <w:rPr>
                <w:rFonts w:ascii="Arial" w:hAnsi="Arial" w:cs="Arial"/>
                <w:sz w:val="16"/>
                <w:szCs w:val="16"/>
              </w:rPr>
            </w:pPr>
            <w:r w:rsidRPr="00D143DF">
              <w:rPr>
                <w:rFonts w:ascii="Arial" w:hAnsi="Arial" w:cs="Arial"/>
                <w:sz w:val="16"/>
                <w:szCs w:val="16"/>
              </w:rPr>
              <w:t xml:space="preserve">Konkret </w:t>
            </w:r>
            <w:r w:rsidR="000023E1">
              <w:rPr>
                <w:rFonts w:ascii="Arial" w:hAnsi="Arial" w:cs="Arial"/>
                <w:sz w:val="16"/>
                <w:szCs w:val="16"/>
              </w:rPr>
              <w:t>zwei</w:t>
            </w:r>
            <w:r w:rsidRPr="00D143DF">
              <w:rPr>
                <w:rFonts w:ascii="Arial" w:hAnsi="Arial" w:cs="Arial"/>
                <w:sz w:val="16"/>
                <w:szCs w:val="16"/>
              </w:rPr>
              <w:t xml:space="preserve"> erfolgreiche Kundenkontakte auf Ferrari-Netzwerktreffen geknüpft.</w:t>
            </w:r>
          </w:p>
        </w:tc>
        <w:tc>
          <w:tcPr>
            <w:tcW w:w="1413" w:type="dxa"/>
          </w:tcPr>
          <w:p w14:paraId="6E76376C" w14:textId="77777777" w:rsidR="00691759" w:rsidRPr="00D143DF" w:rsidRDefault="00691759" w:rsidP="00740C0C">
            <w:pPr>
              <w:spacing w:before="40" w:after="40"/>
              <w:jc w:val="center"/>
              <w:rPr>
                <w:rFonts w:ascii="Arial" w:hAnsi="Arial" w:cs="Arial"/>
                <w:sz w:val="18"/>
                <w:szCs w:val="18"/>
              </w:rPr>
            </w:pPr>
          </w:p>
        </w:tc>
        <w:tc>
          <w:tcPr>
            <w:tcW w:w="688" w:type="dxa"/>
          </w:tcPr>
          <w:p w14:paraId="4839299D" w14:textId="77777777" w:rsidR="00D143DF" w:rsidRDefault="00D143DF" w:rsidP="00740C0C">
            <w:pPr>
              <w:spacing w:before="40" w:after="40"/>
              <w:jc w:val="center"/>
              <w:rPr>
                <w:rFonts w:ascii="Arial" w:hAnsi="Arial" w:cs="Arial"/>
                <w:sz w:val="18"/>
                <w:szCs w:val="18"/>
              </w:rPr>
            </w:pPr>
          </w:p>
          <w:p w14:paraId="53FE3DC8" w14:textId="77777777" w:rsidR="00D143DF" w:rsidRDefault="00D143DF" w:rsidP="00740C0C">
            <w:pPr>
              <w:spacing w:before="40" w:after="40"/>
              <w:jc w:val="center"/>
              <w:rPr>
                <w:rFonts w:ascii="Arial" w:hAnsi="Arial" w:cs="Arial"/>
                <w:sz w:val="18"/>
                <w:szCs w:val="18"/>
              </w:rPr>
            </w:pPr>
          </w:p>
          <w:p w14:paraId="5B950203" w14:textId="77777777" w:rsidR="00691759"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c>
          <w:tcPr>
            <w:tcW w:w="694" w:type="dxa"/>
          </w:tcPr>
          <w:p w14:paraId="7E7B1D8E" w14:textId="77777777" w:rsidR="00D143DF" w:rsidRDefault="00D143DF" w:rsidP="00740C0C">
            <w:pPr>
              <w:spacing w:before="40" w:after="40"/>
              <w:jc w:val="center"/>
              <w:rPr>
                <w:rFonts w:ascii="Arial" w:hAnsi="Arial" w:cs="Arial"/>
                <w:sz w:val="18"/>
                <w:szCs w:val="18"/>
              </w:rPr>
            </w:pPr>
          </w:p>
          <w:p w14:paraId="5429C313" w14:textId="77777777" w:rsidR="00D143DF" w:rsidRDefault="00D143DF" w:rsidP="00740C0C">
            <w:pPr>
              <w:spacing w:before="40" w:after="40"/>
              <w:jc w:val="center"/>
              <w:rPr>
                <w:rFonts w:ascii="Arial" w:hAnsi="Arial" w:cs="Arial"/>
                <w:sz w:val="18"/>
                <w:szCs w:val="18"/>
              </w:rPr>
            </w:pPr>
          </w:p>
          <w:p w14:paraId="612D9EB8" w14:textId="77777777" w:rsidR="00691759"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r>
      <w:tr w:rsidR="00E74EE4" w:rsidRPr="00D143DF" w14:paraId="179508D2" w14:textId="77777777" w:rsidTr="00462DF1">
        <w:tc>
          <w:tcPr>
            <w:tcW w:w="2258" w:type="dxa"/>
          </w:tcPr>
          <w:p w14:paraId="590CCA70" w14:textId="77777777" w:rsidR="00E74EE4" w:rsidRPr="00D143DF" w:rsidRDefault="00E74EE4" w:rsidP="00740C0C">
            <w:pPr>
              <w:spacing w:before="40" w:after="40"/>
              <w:rPr>
                <w:rFonts w:ascii="Arial" w:hAnsi="Arial" w:cs="Arial"/>
                <w:sz w:val="18"/>
                <w:szCs w:val="18"/>
              </w:rPr>
            </w:pPr>
            <w:r w:rsidRPr="00D143DF">
              <w:rPr>
                <w:rFonts w:ascii="Arial" w:hAnsi="Arial" w:cs="Arial"/>
                <w:sz w:val="18"/>
                <w:szCs w:val="18"/>
              </w:rPr>
              <w:t>„ähnlicher Zweck“ gem. § 4 Abs. 5 Satz 1 Nr. 4 EStG</w:t>
            </w:r>
            <w:r w:rsidR="00D54DF2" w:rsidRPr="00D143DF">
              <w:rPr>
                <w:rFonts w:ascii="Arial" w:hAnsi="Arial" w:cs="Arial"/>
                <w:sz w:val="18"/>
                <w:szCs w:val="18"/>
              </w:rPr>
              <w:t xml:space="preserve"> (mit absolutem Abzugsverbot)</w:t>
            </w:r>
          </w:p>
        </w:tc>
        <w:tc>
          <w:tcPr>
            <w:tcW w:w="3297" w:type="dxa"/>
          </w:tcPr>
          <w:p w14:paraId="5ABF1516" w14:textId="77777777" w:rsidR="00E74EE4" w:rsidRPr="00D143DF" w:rsidRDefault="00E74EE4" w:rsidP="00740C0C">
            <w:pPr>
              <w:spacing w:before="40" w:after="40"/>
              <w:rPr>
                <w:rFonts w:ascii="Arial" w:hAnsi="Arial" w:cs="Arial"/>
                <w:sz w:val="18"/>
                <w:szCs w:val="18"/>
              </w:rPr>
            </w:pPr>
            <w:r w:rsidRPr="00D143DF">
              <w:rPr>
                <w:rFonts w:ascii="Arial" w:hAnsi="Arial" w:cs="Arial"/>
                <w:sz w:val="18"/>
                <w:szCs w:val="18"/>
              </w:rPr>
              <w:t>„bisher nur“</w:t>
            </w:r>
          </w:p>
          <w:p w14:paraId="6F98C422" w14:textId="2DF81B82" w:rsidR="00E74EE4" w:rsidRPr="000023E1" w:rsidRDefault="00E74EE4" w:rsidP="00740C0C">
            <w:pPr>
              <w:pStyle w:val="Listenabsatz"/>
              <w:numPr>
                <w:ilvl w:val="0"/>
                <w:numId w:val="5"/>
              </w:numPr>
              <w:spacing w:before="40" w:after="40"/>
              <w:rPr>
                <w:rFonts w:ascii="Arial" w:hAnsi="Arial" w:cs="Arial"/>
                <w:sz w:val="18"/>
                <w:szCs w:val="18"/>
                <w:lang w:val="en-GB"/>
              </w:rPr>
            </w:pPr>
            <w:proofErr w:type="spellStart"/>
            <w:r w:rsidRPr="00D143DF">
              <w:rPr>
                <w:rFonts w:ascii="Arial" w:hAnsi="Arial" w:cs="Arial"/>
                <w:sz w:val="18"/>
                <w:szCs w:val="18"/>
                <w:lang w:val="en-GB"/>
              </w:rPr>
              <w:t>Oldtimer</w:t>
            </w:r>
            <w:proofErr w:type="spellEnd"/>
            <w:r w:rsidRPr="00D143DF">
              <w:rPr>
                <w:rFonts w:ascii="Arial" w:hAnsi="Arial" w:cs="Arial"/>
                <w:sz w:val="18"/>
                <w:szCs w:val="18"/>
                <w:lang w:val="en-GB"/>
              </w:rPr>
              <w:t xml:space="preserve"> (BFH </w:t>
            </w:r>
            <w:proofErr w:type="spellStart"/>
            <w:r w:rsidR="000023E1">
              <w:rPr>
                <w:rFonts w:ascii="Arial" w:hAnsi="Arial" w:cs="Arial"/>
                <w:sz w:val="18"/>
                <w:szCs w:val="18"/>
                <w:lang w:val="en-GB"/>
              </w:rPr>
              <w:t>Urt</w:t>
            </w:r>
            <w:proofErr w:type="spellEnd"/>
            <w:r w:rsidR="000023E1">
              <w:rPr>
                <w:rFonts w:ascii="Arial" w:hAnsi="Arial" w:cs="Arial"/>
                <w:sz w:val="18"/>
                <w:szCs w:val="18"/>
                <w:lang w:val="en-GB"/>
              </w:rPr>
              <w:t xml:space="preserve">. </w:t>
            </w:r>
            <w:r w:rsidRPr="00D143DF">
              <w:rPr>
                <w:rFonts w:ascii="Arial" w:hAnsi="Arial" w:cs="Arial"/>
                <w:sz w:val="18"/>
                <w:szCs w:val="18"/>
                <w:lang w:val="en-GB"/>
              </w:rPr>
              <w:t>v. 10.</w:t>
            </w:r>
            <w:r w:rsidR="000023E1">
              <w:rPr>
                <w:rFonts w:ascii="Arial" w:hAnsi="Arial" w:cs="Arial"/>
                <w:sz w:val="18"/>
                <w:szCs w:val="18"/>
                <w:lang w:val="en-GB"/>
              </w:rPr>
              <w:t>0</w:t>
            </w:r>
            <w:r w:rsidRPr="00D143DF">
              <w:rPr>
                <w:rFonts w:ascii="Arial" w:hAnsi="Arial" w:cs="Arial"/>
                <w:sz w:val="18"/>
                <w:szCs w:val="18"/>
                <w:lang w:val="en-GB"/>
              </w:rPr>
              <w:t xml:space="preserve">8.2011 </w:t>
            </w:r>
            <w:r w:rsidR="000023E1">
              <w:rPr>
                <w:rFonts w:ascii="Arial" w:hAnsi="Arial" w:cs="Arial"/>
                <w:sz w:val="18"/>
                <w:szCs w:val="18"/>
                <w:lang w:val="en-GB"/>
              </w:rPr>
              <w:t xml:space="preserve">– </w:t>
            </w:r>
            <w:r w:rsidRPr="000023E1">
              <w:rPr>
                <w:rFonts w:ascii="Arial" w:hAnsi="Arial" w:cs="Arial"/>
                <w:sz w:val="18"/>
                <w:szCs w:val="18"/>
                <w:lang w:val="en-GB"/>
              </w:rPr>
              <w:t>I B 42/11, BFH/NV 2011, 2097)</w:t>
            </w:r>
          </w:p>
          <w:p w14:paraId="52A92FB5" w14:textId="423153C7" w:rsidR="00E74EE4" w:rsidRPr="000023E1" w:rsidRDefault="00E74EE4" w:rsidP="00740C0C">
            <w:pPr>
              <w:pStyle w:val="Listenabsatz"/>
              <w:numPr>
                <w:ilvl w:val="0"/>
                <w:numId w:val="5"/>
              </w:numPr>
              <w:spacing w:before="40" w:after="40"/>
              <w:rPr>
                <w:rFonts w:ascii="Arial" w:hAnsi="Arial" w:cs="Arial"/>
                <w:sz w:val="18"/>
                <w:szCs w:val="18"/>
              </w:rPr>
            </w:pPr>
            <w:r w:rsidRPr="00D143DF">
              <w:rPr>
                <w:rFonts w:ascii="Arial" w:hAnsi="Arial" w:cs="Arial"/>
                <w:sz w:val="18"/>
                <w:szCs w:val="18"/>
              </w:rPr>
              <w:t>Rennwagen (BFH</w:t>
            </w:r>
            <w:r w:rsidR="000023E1">
              <w:rPr>
                <w:rFonts w:ascii="Arial" w:hAnsi="Arial" w:cs="Arial"/>
                <w:sz w:val="18"/>
                <w:szCs w:val="18"/>
              </w:rPr>
              <w:t>, Urt.</w:t>
            </w:r>
            <w:r w:rsidRPr="00D143DF">
              <w:rPr>
                <w:rFonts w:ascii="Arial" w:hAnsi="Arial" w:cs="Arial"/>
                <w:sz w:val="18"/>
                <w:szCs w:val="18"/>
              </w:rPr>
              <w:t xml:space="preserve"> v. 22.12.2008 </w:t>
            </w:r>
            <w:r w:rsidR="000023E1">
              <w:rPr>
                <w:rFonts w:ascii="Arial" w:hAnsi="Arial" w:cs="Arial"/>
                <w:sz w:val="18"/>
                <w:szCs w:val="18"/>
              </w:rPr>
              <w:t xml:space="preserve">– </w:t>
            </w:r>
            <w:r w:rsidRPr="000023E1">
              <w:rPr>
                <w:rFonts w:ascii="Arial" w:hAnsi="Arial" w:cs="Arial"/>
                <w:sz w:val="18"/>
                <w:szCs w:val="18"/>
              </w:rPr>
              <w:t>III 154/07, BFH/NV 2009,</w:t>
            </w:r>
            <w:r w:rsidR="000023E1">
              <w:rPr>
                <w:rFonts w:ascii="Arial" w:hAnsi="Arial" w:cs="Arial"/>
                <w:sz w:val="18"/>
                <w:szCs w:val="18"/>
              </w:rPr>
              <w:t xml:space="preserve"> </w:t>
            </w:r>
            <w:r w:rsidRPr="000023E1">
              <w:rPr>
                <w:rFonts w:ascii="Arial" w:hAnsi="Arial" w:cs="Arial"/>
                <w:sz w:val="18"/>
                <w:szCs w:val="18"/>
              </w:rPr>
              <w:t>579)</w:t>
            </w:r>
          </w:p>
        </w:tc>
        <w:tc>
          <w:tcPr>
            <w:tcW w:w="1499" w:type="dxa"/>
          </w:tcPr>
          <w:p w14:paraId="3F980733" w14:textId="07D0539F" w:rsidR="00E74EE4" w:rsidRPr="00D143DF" w:rsidRDefault="00D54DF2" w:rsidP="00740C0C">
            <w:pPr>
              <w:spacing w:before="40" w:after="40"/>
              <w:rPr>
                <w:rFonts w:ascii="Arial" w:hAnsi="Arial" w:cs="Arial"/>
                <w:sz w:val="18"/>
                <w:szCs w:val="18"/>
              </w:rPr>
            </w:pPr>
            <w:r w:rsidRPr="00D143DF">
              <w:rPr>
                <w:rFonts w:ascii="Arial" w:hAnsi="Arial" w:cs="Arial"/>
                <w:sz w:val="18"/>
                <w:szCs w:val="18"/>
              </w:rPr>
              <w:t>So festgestellt von FG Hamburg,</w:t>
            </w:r>
            <w:r w:rsidR="000023E1">
              <w:rPr>
                <w:rFonts w:ascii="Arial" w:hAnsi="Arial" w:cs="Arial"/>
                <w:sz w:val="18"/>
                <w:szCs w:val="18"/>
              </w:rPr>
              <w:t xml:space="preserve"> Urt. v.</w:t>
            </w:r>
            <w:r w:rsidRPr="00D143DF">
              <w:rPr>
                <w:rFonts w:ascii="Arial" w:hAnsi="Arial" w:cs="Arial"/>
                <w:sz w:val="18"/>
                <w:szCs w:val="18"/>
              </w:rPr>
              <w:t xml:space="preserve"> </w:t>
            </w:r>
            <w:r w:rsidR="000023E1" w:rsidRPr="00D143DF">
              <w:rPr>
                <w:rFonts w:ascii="Arial" w:hAnsi="Arial" w:cs="Arial"/>
                <w:sz w:val="18"/>
                <w:szCs w:val="18"/>
              </w:rPr>
              <w:t>27.9.2018</w:t>
            </w:r>
            <w:r w:rsidR="000023E1">
              <w:rPr>
                <w:rFonts w:ascii="Arial" w:hAnsi="Arial" w:cs="Arial"/>
                <w:sz w:val="18"/>
                <w:szCs w:val="18"/>
              </w:rPr>
              <w:t xml:space="preserve"> – </w:t>
            </w:r>
            <w:r w:rsidRPr="00D143DF">
              <w:rPr>
                <w:rFonts w:ascii="Arial" w:hAnsi="Arial" w:cs="Arial"/>
                <w:sz w:val="18"/>
                <w:szCs w:val="18"/>
              </w:rPr>
              <w:t xml:space="preserve">3 K 96/17, EFG 2019, 135, </w:t>
            </w:r>
            <w:proofErr w:type="spellStart"/>
            <w:r w:rsidRPr="00D143DF">
              <w:rPr>
                <w:rFonts w:ascii="Arial" w:hAnsi="Arial" w:cs="Arial"/>
                <w:sz w:val="18"/>
                <w:szCs w:val="18"/>
              </w:rPr>
              <w:t>rkr</w:t>
            </w:r>
            <w:proofErr w:type="spellEnd"/>
            <w:r w:rsidRPr="00D143DF">
              <w:rPr>
                <w:rFonts w:ascii="Arial" w:hAnsi="Arial" w:cs="Arial"/>
                <w:sz w:val="18"/>
                <w:szCs w:val="18"/>
              </w:rPr>
              <w:t xml:space="preserve"> (</w:t>
            </w:r>
            <w:proofErr w:type="spellStart"/>
            <w:r w:rsidRPr="00D143DF">
              <w:rPr>
                <w:rFonts w:ascii="Arial" w:hAnsi="Arial" w:cs="Arial"/>
                <w:sz w:val="18"/>
                <w:szCs w:val="18"/>
              </w:rPr>
              <w:t>Lexinform</w:t>
            </w:r>
            <w:proofErr w:type="spellEnd"/>
            <w:r w:rsidRPr="00D143DF">
              <w:rPr>
                <w:rFonts w:ascii="Arial" w:hAnsi="Arial" w:cs="Arial"/>
                <w:sz w:val="18"/>
                <w:szCs w:val="18"/>
              </w:rPr>
              <w:t xml:space="preserve"> 5021664)</w:t>
            </w:r>
            <w:r w:rsidR="000023E1">
              <w:rPr>
                <w:rFonts w:ascii="Arial" w:hAnsi="Arial" w:cs="Arial"/>
                <w:sz w:val="18"/>
                <w:szCs w:val="18"/>
              </w:rPr>
              <w:t>;</w:t>
            </w:r>
            <w:r w:rsidRPr="00D143DF">
              <w:rPr>
                <w:rFonts w:ascii="Arial" w:hAnsi="Arial" w:cs="Arial"/>
                <w:sz w:val="18"/>
                <w:szCs w:val="18"/>
              </w:rPr>
              <w:t xml:space="preserve"> (s</w:t>
            </w:r>
            <w:r w:rsidR="000023E1">
              <w:rPr>
                <w:rFonts w:ascii="Arial" w:hAnsi="Arial" w:cs="Arial"/>
                <w:sz w:val="18"/>
                <w:szCs w:val="18"/>
              </w:rPr>
              <w:t>.</w:t>
            </w:r>
            <w:r w:rsidRPr="00D143DF">
              <w:rPr>
                <w:rFonts w:ascii="Arial" w:hAnsi="Arial" w:cs="Arial"/>
                <w:sz w:val="18"/>
                <w:szCs w:val="18"/>
              </w:rPr>
              <w:t xml:space="preserve"> vorstehend zum Ferrari)</w:t>
            </w:r>
          </w:p>
        </w:tc>
        <w:tc>
          <w:tcPr>
            <w:tcW w:w="1413" w:type="dxa"/>
          </w:tcPr>
          <w:p w14:paraId="4658FE34" w14:textId="77777777" w:rsidR="00E74EE4" w:rsidRPr="00D143DF" w:rsidRDefault="00E74EE4" w:rsidP="00740C0C">
            <w:pPr>
              <w:spacing w:before="40" w:after="40"/>
              <w:jc w:val="center"/>
              <w:rPr>
                <w:rFonts w:ascii="Arial" w:hAnsi="Arial" w:cs="Arial"/>
                <w:sz w:val="18"/>
                <w:szCs w:val="18"/>
              </w:rPr>
            </w:pPr>
          </w:p>
        </w:tc>
        <w:tc>
          <w:tcPr>
            <w:tcW w:w="688" w:type="dxa"/>
          </w:tcPr>
          <w:p w14:paraId="5F1CE017" w14:textId="77777777" w:rsidR="00D143DF" w:rsidRDefault="00D143DF" w:rsidP="00740C0C">
            <w:pPr>
              <w:spacing w:before="40" w:after="40"/>
              <w:jc w:val="center"/>
              <w:rPr>
                <w:rFonts w:ascii="Arial" w:hAnsi="Arial" w:cs="Arial"/>
                <w:sz w:val="18"/>
                <w:szCs w:val="18"/>
              </w:rPr>
            </w:pPr>
          </w:p>
          <w:p w14:paraId="71CDABF8" w14:textId="77777777" w:rsidR="00D143DF" w:rsidRDefault="00D143DF" w:rsidP="00740C0C">
            <w:pPr>
              <w:spacing w:before="40" w:after="40"/>
              <w:jc w:val="center"/>
              <w:rPr>
                <w:rFonts w:ascii="Arial" w:hAnsi="Arial" w:cs="Arial"/>
                <w:sz w:val="18"/>
                <w:szCs w:val="18"/>
              </w:rPr>
            </w:pPr>
          </w:p>
          <w:p w14:paraId="7A4B2C38" w14:textId="77777777" w:rsidR="00E74EE4"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c>
          <w:tcPr>
            <w:tcW w:w="694" w:type="dxa"/>
          </w:tcPr>
          <w:p w14:paraId="30EC6C89" w14:textId="77777777" w:rsidR="00D143DF" w:rsidRDefault="00D143DF" w:rsidP="00740C0C">
            <w:pPr>
              <w:spacing w:before="40" w:after="40"/>
              <w:jc w:val="center"/>
              <w:rPr>
                <w:rFonts w:ascii="Arial" w:hAnsi="Arial" w:cs="Arial"/>
                <w:sz w:val="18"/>
                <w:szCs w:val="18"/>
              </w:rPr>
            </w:pPr>
          </w:p>
          <w:p w14:paraId="790C97E9" w14:textId="77777777" w:rsidR="00D143DF" w:rsidRDefault="00D143DF" w:rsidP="00740C0C">
            <w:pPr>
              <w:spacing w:before="40" w:after="40"/>
              <w:jc w:val="center"/>
              <w:rPr>
                <w:rFonts w:ascii="Arial" w:hAnsi="Arial" w:cs="Arial"/>
                <w:sz w:val="18"/>
                <w:szCs w:val="18"/>
              </w:rPr>
            </w:pPr>
          </w:p>
          <w:p w14:paraId="732CC52B" w14:textId="77777777" w:rsidR="00E74EE4"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r>
      <w:tr w:rsidR="00E74EE4" w:rsidRPr="00D143DF" w14:paraId="2499BA25" w14:textId="77777777" w:rsidTr="00462DF1">
        <w:tc>
          <w:tcPr>
            <w:tcW w:w="2258" w:type="dxa"/>
          </w:tcPr>
          <w:p w14:paraId="4B80200D" w14:textId="77777777" w:rsidR="00E74EE4" w:rsidRPr="00D143DF" w:rsidRDefault="0016230A" w:rsidP="00740C0C">
            <w:pPr>
              <w:spacing w:before="40" w:after="40"/>
              <w:rPr>
                <w:rFonts w:ascii="Arial" w:hAnsi="Arial" w:cs="Arial"/>
                <w:sz w:val="18"/>
                <w:szCs w:val="18"/>
              </w:rPr>
            </w:pPr>
            <w:r w:rsidRPr="00D143DF">
              <w:rPr>
                <w:rFonts w:ascii="Arial" w:hAnsi="Arial" w:cs="Arial"/>
                <w:sz w:val="18"/>
                <w:szCs w:val="18"/>
              </w:rPr>
              <w:t>ausschließlich betriebliche Nutzung</w:t>
            </w:r>
          </w:p>
        </w:tc>
        <w:tc>
          <w:tcPr>
            <w:tcW w:w="3297" w:type="dxa"/>
          </w:tcPr>
          <w:p w14:paraId="0D5A82AB" w14:textId="649A6FE4" w:rsidR="00E74EE4" w:rsidRPr="00D143DF" w:rsidRDefault="0016230A" w:rsidP="00740C0C">
            <w:pPr>
              <w:spacing w:before="40" w:after="40"/>
              <w:rPr>
                <w:rFonts w:ascii="Arial" w:hAnsi="Arial" w:cs="Arial"/>
                <w:sz w:val="18"/>
                <w:szCs w:val="18"/>
              </w:rPr>
            </w:pPr>
            <w:r w:rsidRPr="00D143DF">
              <w:rPr>
                <w:rFonts w:ascii="Arial" w:hAnsi="Arial" w:cs="Arial"/>
                <w:sz w:val="18"/>
                <w:szCs w:val="18"/>
              </w:rPr>
              <w:t xml:space="preserve">Reicht für sich </w:t>
            </w:r>
            <w:proofErr w:type="gramStart"/>
            <w:r w:rsidRPr="00D143DF">
              <w:rPr>
                <w:rFonts w:ascii="Arial" w:hAnsi="Arial" w:cs="Arial"/>
                <w:sz w:val="18"/>
                <w:szCs w:val="18"/>
              </w:rPr>
              <w:t>alleine</w:t>
            </w:r>
            <w:proofErr w:type="gramEnd"/>
            <w:r w:rsidRPr="00D143DF">
              <w:rPr>
                <w:rFonts w:ascii="Arial" w:hAnsi="Arial" w:cs="Arial"/>
                <w:sz w:val="18"/>
                <w:szCs w:val="18"/>
              </w:rPr>
              <w:t xml:space="preserve"> nicht, wenn private Lebensführung berührt (z.B. Hubschrauber eines Unternehmers mit Pilotenschein, BFH</w:t>
            </w:r>
            <w:r w:rsidR="00740C0C">
              <w:rPr>
                <w:rFonts w:ascii="Arial" w:hAnsi="Arial" w:cs="Arial"/>
                <w:sz w:val="18"/>
                <w:szCs w:val="18"/>
              </w:rPr>
              <w:t xml:space="preserve">, Urt. </w:t>
            </w:r>
            <w:r w:rsidRPr="00D143DF">
              <w:rPr>
                <w:rFonts w:ascii="Arial" w:hAnsi="Arial" w:cs="Arial"/>
                <w:sz w:val="18"/>
                <w:szCs w:val="18"/>
              </w:rPr>
              <w:t>v. 27.</w:t>
            </w:r>
            <w:r w:rsidR="00740C0C">
              <w:rPr>
                <w:rFonts w:ascii="Arial" w:hAnsi="Arial" w:cs="Arial"/>
                <w:sz w:val="18"/>
                <w:szCs w:val="18"/>
              </w:rPr>
              <w:t>0</w:t>
            </w:r>
            <w:r w:rsidRPr="00D143DF">
              <w:rPr>
                <w:rFonts w:ascii="Arial" w:hAnsi="Arial" w:cs="Arial"/>
                <w:sz w:val="18"/>
                <w:szCs w:val="18"/>
              </w:rPr>
              <w:t>2.1985</w:t>
            </w:r>
            <w:r w:rsidR="00740C0C">
              <w:rPr>
                <w:rFonts w:ascii="Arial" w:hAnsi="Arial" w:cs="Arial"/>
                <w:sz w:val="18"/>
                <w:szCs w:val="18"/>
              </w:rPr>
              <w:t xml:space="preserve"> – </w:t>
            </w:r>
            <w:r w:rsidRPr="00D143DF">
              <w:rPr>
                <w:rFonts w:ascii="Arial" w:hAnsi="Arial" w:cs="Arial"/>
                <w:sz w:val="18"/>
                <w:szCs w:val="18"/>
              </w:rPr>
              <w:t xml:space="preserve">I R 20/82, </w:t>
            </w:r>
            <w:proofErr w:type="spellStart"/>
            <w:r w:rsidRPr="00D143DF">
              <w:rPr>
                <w:rFonts w:ascii="Arial" w:hAnsi="Arial" w:cs="Arial"/>
                <w:sz w:val="18"/>
                <w:szCs w:val="18"/>
              </w:rPr>
              <w:t>BStBl</w:t>
            </w:r>
            <w:proofErr w:type="spellEnd"/>
            <w:r w:rsidR="00740C0C">
              <w:rPr>
                <w:rFonts w:ascii="Arial" w:hAnsi="Arial" w:cs="Arial"/>
                <w:sz w:val="18"/>
                <w:szCs w:val="18"/>
              </w:rPr>
              <w:t xml:space="preserve"> II</w:t>
            </w:r>
            <w:r w:rsidRPr="00D143DF">
              <w:rPr>
                <w:rFonts w:ascii="Arial" w:hAnsi="Arial" w:cs="Arial"/>
                <w:sz w:val="18"/>
                <w:szCs w:val="18"/>
              </w:rPr>
              <w:t xml:space="preserve"> 1985, 458) </w:t>
            </w:r>
            <w:r w:rsidR="0095045D" w:rsidRPr="00D143DF">
              <w:rPr>
                <w:rFonts w:ascii="Arial" w:hAnsi="Arial" w:cs="Arial"/>
                <w:sz w:val="18"/>
                <w:szCs w:val="18"/>
              </w:rPr>
              <w:t>und/</w:t>
            </w:r>
            <w:r w:rsidRPr="00D143DF">
              <w:rPr>
                <w:rFonts w:ascii="Arial" w:hAnsi="Arial" w:cs="Arial"/>
                <w:sz w:val="18"/>
                <w:szCs w:val="18"/>
              </w:rPr>
              <w:t xml:space="preserve">oder </w:t>
            </w:r>
            <w:r w:rsidR="0095045D" w:rsidRPr="00D143DF">
              <w:rPr>
                <w:rFonts w:ascii="Arial" w:hAnsi="Arial" w:cs="Arial"/>
                <w:sz w:val="18"/>
                <w:szCs w:val="18"/>
              </w:rPr>
              <w:t xml:space="preserve">bei Vorliegen eines hohen „Repräsentations- sowie privaten </w:t>
            </w:r>
            <w:r w:rsidR="0095045D" w:rsidRPr="00D143DF">
              <w:rPr>
                <w:rFonts w:ascii="Arial" w:hAnsi="Arial" w:cs="Arial"/>
                <w:sz w:val="18"/>
                <w:szCs w:val="18"/>
                <w:highlight w:val="yellow"/>
              </w:rPr>
              <w:t>Affektionswerts eines Luxussportwagens</w:t>
            </w:r>
            <w:r w:rsidR="0095045D" w:rsidRPr="00D143DF">
              <w:rPr>
                <w:rFonts w:ascii="Arial" w:hAnsi="Arial" w:cs="Arial"/>
                <w:sz w:val="18"/>
                <w:szCs w:val="18"/>
              </w:rPr>
              <w:t xml:space="preserve"> für seinen Nutzer“ (BFH</w:t>
            </w:r>
            <w:r w:rsidR="00740C0C">
              <w:rPr>
                <w:rFonts w:ascii="Arial" w:hAnsi="Arial" w:cs="Arial"/>
                <w:sz w:val="18"/>
                <w:szCs w:val="18"/>
              </w:rPr>
              <w:t>, Urt.</w:t>
            </w:r>
            <w:r w:rsidR="0095045D" w:rsidRPr="00D143DF">
              <w:rPr>
                <w:rFonts w:ascii="Arial" w:hAnsi="Arial" w:cs="Arial"/>
                <w:sz w:val="18"/>
                <w:szCs w:val="18"/>
              </w:rPr>
              <w:t xml:space="preserve"> v. 29.</w:t>
            </w:r>
            <w:r w:rsidR="00740C0C">
              <w:rPr>
                <w:rFonts w:ascii="Arial" w:hAnsi="Arial" w:cs="Arial"/>
                <w:sz w:val="18"/>
                <w:szCs w:val="18"/>
              </w:rPr>
              <w:t>0</w:t>
            </w:r>
            <w:r w:rsidR="0095045D" w:rsidRPr="00D143DF">
              <w:rPr>
                <w:rFonts w:ascii="Arial" w:hAnsi="Arial" w:cs="Arial"/>
                <w:sz w:val="18"/>
                <w:szCs w:val="18"/>
              </w:rPr>
              <w:t>4.2014</w:t>
            </w:r>
            <w:r w:rsidR="00740C0C">
              <w:rPr>
                <w:rFonts w:ascii="Arial" w:hAnsi="Arial" w:cs="Arial"/>
                <w:sz w:val="18"/>
                <w:szCs w:val="18"/>
              </w:rPr>
              <w:t xml:space="preserve"> – </w:t>
            </w:r>
            <w:r w:rsidR="0095045D" w:rsidRPr="00D143DF">
              <w:rPr>
                <w:rFonts w:ascii="Arial" w:hAnsi="Arial" w:cs="Arial"/>
                <w:sz w:val="18"/>
                <w:szCs w:val="18"/>
              </w:rPr>
              <w:t xml:space="preserve">VIII R 20/12, </w:t>
            </w:r>
            <w:proofErr w:type="spellStart"/>
            <w:r w:rsidR="0095045D" w:rsidRPr="00D143DF">
              <w:rPr>
                <w:rFonts w:ascii="Arial" w:hAnsi="Arial" w:cs="Arial"/>
                <w:sz w:val="18"/>
                <w:szCs w:val="18"/>
              </w:rPr>
              <w:t>BStBl</w:t>
            </w:r>
            <w:proofErr w:type="spellEnd"/>
            <w:r w:rsidR="00740C0C">
              <w:rPr>
                <w:rFonts w:ascii="Arial" w:hAnsi="Arial" w:cs="Arial"/>
                <w:sz w:val="18"/>
                <w:szCs w:val="18"/>
              </w:rPr>
              <w:t xml:space="preserve"> II</w:t>
            </w:r>
            <w:r w:rsidR="0095045D" w:rsidRPr="00D143DF">
              <w:rPr>
                <w:rFonts w:ascii="Arial" w:hAnsi="Arial" w:cs="Arial"/>
                <w:sz w:val="18"/>
                <w:szCs w:val="18"/>
              </w:rPr>
              <w:t xml:space="preserve"> 2014, 679). </w:t>
            </w:r>
          </w:p>
        </w:tc>
        <w:tc>
          <w:tcPr>
            <w:tcW w:w="1499" w:type="dxa"/>
          </w:tcPr>
          <w:p w14:paraId="64539BD5" w14:textId="78E62789" w:rsidR="00E74EE4" w:rsidRPr="00D143DF" w:rsidRDefault="0095045D" w:rsidP="00740C0C">
            <w:pPr>
              <w:spacing w:before="40" w:after="40"/>
              <w:rPr>
                <w:rFonts w:ascii="Arial" w:hAnsi="Arial" w:cs="Arial"/>
                <w:sz w:val="18"/>
                <w:szCs w:val="18"/>
              </w:rPr>
            </w:pPr>
            <w:proofErr w:type="spellStart"/>
            <w:r w:rsidRPr="00D143DF">
              <w:rPr>
                <w:rFonts w:ascii="Arial" w:hAnsi="Arial" w:cs="Arial"/>
                <w:sz w:val="18"/>
                <w:szCs w:val="18"/>
              </w:rPr>
              <w:t>Vgl</w:t>
            </w:r>
            <w:proofErr w:type="spellEnd"/>
            <w:r w:rsidRPr="00D143DF">
              <w:rPr>
                <w:rFonts w:ascii="Arial" w:hAnsi="Arial" w:cs="Arial"/>
                <w:sz w:val="18"/>
                <w:szCs w:val="18"/>
              </w:rPr>
              <w:t xml:space="preserve"> </w:t>
            </w:r>
            <w:r w:rsidR="001E7369" w:rsidRPr="00D143DF">
              <w:rPr>
                <w:rFonts w:ascii="Arial" w:hAnsi="Arial" w:cs="Arial"/>
                <w:sz w:val="18"/>
                <w:szCs w:val="18"/>
              </w:rPr>
              <w:t>BFH</w:t>
            </w:r>
            <w:r w:rsidR="00740C0C">
              <w:rPr>
                <w:rFonts w:ascii="Arial" w:hAnsi="Arial" w:cs="Arial"/>
                <w:sz w:val="18"/>
                <w:szCs w:val="18"/>
              </w:rPr>
              <w:t>, Urt.</w:t>
            </w:r>
            <w:r w:rsidR="001E7369" w:rsidRPr="00D143DF">
              <w:rPr>
                <w:rFonts w:ascii="Arial" w:hAnsi="Arial" w:cs="Arial"/>
                <w:sz w:val="18"/>
                <w:szCs w:val="18"/>
              </w:rPr>
              <w:t xml:space="preserve"> v. 29.</w:t>
            </w:r>
            <w:r w:rsidR="00740C0C">
              <w:rPr>
                <w:rFonts w:ascii="Arial" w:hAnsi="Arial" w:cs="Arial"/>
                <w:sz w:val="18"/>
                <w:szCs w:val="18"/>
              </w:rPr>
              <w:t>0</w:t>
            </w:r>
            <w:r w:rsidR="001E7369" w:rsidRPr="00D143DF">
              <w:rPr>
                <w:rFonts w:ascii="Arial" w:hAnsi="Arial" w:cs="Arial"/>
                <w:sz w:val="18"/>
                <w:szCs w:val="18"/>
              </w:rPr>
              <w:t>4.2014</w:t>
            </w:r>
            <w:r w:rsidR="00740C0C">
              <w:rPr>
                <w:rFonts w:ascii="Arial" w:hAnsi="Arial" w:cs="Arial"/>
                <w:sz w:val="18"/>
                <w:szCs w:val="18"/>
              </w:rPr>
              <w:t xml:space="preserve"> –</w:t>
            </w:r>
            <w:r w:rsidR="001E7369" w:rsidRPr="00D143DF">
              <w:rPr>
                <w:rFonts w:ascii="Arial" w:hAnsi="Arial" w:cs="Arial"/>
                <w:sz w:val="18"/>
                <w:szCs w:val="18"/>
              </w:rPr>
              <w:t xml:space="preserve"> VIII R 20/12, </w:t>
            </w:r>
            <w:proofErr w:type="spellStart"/>
            <w:r w:rsidR="001E7369" w:rsidRPr="00D143DF">
              <w:rPr>
                <w:rFonts w:ascii="Arial" w:hAnsi="Arial" w:cs="Arial"/>
                <w:sz w:val="18"/>
                <w:szCs w:val="18"/>
              </w:rPr>
              <w:t>BStBl</w:t>
            </w:r>
            <w:proofErr w:type="spellEnd"/>
            <w:r w:rsidR="00740C0C">
              <w:rPr>
                <w:rFonts w:ascii="Arial" w:hAnsi="Arial" w:cs="Arial"/>
                <w:sz w:val="18"/>
                <w:szCs w:val="18"/>
              </w:rPr>
              <w:t xml:space="preserve"> II</w:t>
            </w:r>
            <w:r w:rsidR="001E7369" w:rsidRPr="00D143DF">
              <w:rPr>
                <w:rFonts w:ascii="Arial" w:hAnsi="Arial" w:cs="Arial"/>
                <w:sz w:val="18"/>
                <w:szCs w:val="18"/>
              </w:rPr>
              <w:t xml:space="preserve"> 2014, 679; für allgemein anwendbar erklärt durch BMF am 15.</w:t>
            </w:r>
            <w:r w:rsidR="00740C0C">
              <w:rPr>
                <w:rFonts w:ascii="Arial" w:hAnsi="Arial" w:cs="Arial"/>
                <w:sz w:val="18"/>
                <w:szCs w:val="18"/>
              </w:rPr>
              <w:t>0</w:t>
            </w:r>
            <w:r w:rsidR="001E7369" w:rsidRPr="00D143DF">
              <w:rPr>
                <w:rFonts w:ascii="Arial" w:hAnsi="Arial" w:cs="Arial"/>
                <w:sz w:val="18"/>
                <w:szCs w:val="18"/>
              </w:rPr>
              <w:t xml:space="preserve">9.2014, </w:t>
            </w:r>
            <w:proofErr w:type="spellStart"/>
            <w:r w:rsidR="001E7369" w:rsidRPr="00D143DF">
              <w:rPr>
                <w:rFonts w:ascii="Arial" w:hAnsi="Arial" w:cs="Arial"/>
                <w:sz w:val="18"/>
                <w:szCs w:val="18"/>
              </w:rPr>
              <w:t>m.w.N</w:t>
            </w:r>
            <w:proofErr w:type="spellEnd"/>
            <w:r w:rsidR="001E7369" w:rsidRPr="00D143DF">
              <w:rPr>
                <w:rFonts w:ascii="Arial" w:hAnsi="Arial" w:cs="Arial"/>
                <w:sz w:val="18"/>
                <w:szCs w:val="18"/>
              </w:rPr>
              <w:t xml:space="preserve">. (Urteilsquellen) in </w:t>
            </w:r>
            <w:proofErr w:type="spellStart"/>
            <w:r w:rsidR="001E7369" w:rsidRPr="00D143DF">
              <w:rPr>
                <w:rFonts w:ascii="Arial" w:hAnsi="Arial" w:cs="Arial"/>
                <w:sz w:val="18"/>
                <w:szCs w:val="18"/>
              </w:rPr>
              <w:t>Rz</w:t>
            </w:r>
            <w:proofErr w:type="spellEnd"/>
            <w:r w:rsidR="001E7369" w:rsidRPr="00D143DF">
              <w:rPr>
                <w:rFonts w:ascii="Arial" w:hAnsi="Arial" w:cs="Arial"/>
                <w:sz w:val="18"/>
                <w:szCs w:val="18"/>
              </w:rPr>
              <w:t>. 26.</w:t>
            </w:r>
          </w:p>
        </w:tc>
        <w:tc>
          <w:tcPr>
            <w:tcW w:w="1413" w:type="dxa"/>
          </w:tcPr>
          <w:p w14:paraId="768E1FAE" w14:textId="77777777" w:rsidR="00E74EE4" w:rsidRPr="00D143DF" w:rsidRDefault="00E74EE4" w:rsidP="00740C0C">
            <w:pPr>
              <w:spacing w:before="40" w:after="40"/>
              <w:jc w:val="center"/>
              <w:rPr>
                <w:rFonts w:ascii="Arial" w:hAnsi="Arial" w:cs="Arial"/>
                <w:sz w:val="18"/>
                <w:szCs w:val="18"/>
              </w:rPr>
            </w:pPr>
          </w:p>
        </w:tc>
        <w:tc>
          <w:tcPr>
            <w:tcW w:w="688" w:type="dxa"/>
          </w:tcPr>
          <w:p w14:paraId="4562463B" w14:textId="77777777" w:rsidR="00D143DF" w:rsidRDefault="00D143DF" w:rsidP="00740C0C">
            <w:pPr>
              <w:spacing w:before="40" w:after="40"/>
              <w:jc w:val="center"/>
              <w:rPr>
                <w:rFonts w:ascii="Arial" w:hAnsi="Arial" w:cs="Arial"/>
                <w:sz w:val="18"/>
                <w:szCs w:val="18"/>
              </w:rPr>
            </w:pPr>
          </w:p>
          <w:p w14:paraId="662D0E30" w14:textId="77777777" w:rsidR="00D143DF" w:rsidRDefault="00D143DF" w:rsidP="00740C0C">
            <w:pPr>
              <w:spacing w:before="40" w:after="40"/>
              <w:jc w:val="center"/>
              <w:rPr>
                <w:rFonts w:ascii="Arial" w:hAnsi="Arial" w:cs="Arial"/>
                <w:sz w:val="18"/>
                <w:szCs w:val="18"/>
              </w:rPr>
            </w:pPr>
          </w:p>
          <w:p w14:paraId="69862F96" w14:textId="77777777" w:rsidR="00E74EE4"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c>
          <w:tcPr>
            <w:tcW w:w="694" w:type="dxa"/>
          </w:tcPr>
          <w:p w14:paraId="5BDC79C3" w14:textId="77777777" w:rsidR="00D143DF" w:rsidRDefault="00D143DF" w:rsidP="00740C0C">
            <w:pPr>
              <w:spacing w:before="40" w:after="40"/>
              <w:jc w:val="center"/>
              <w:rPr>
                <w:rFonts w:ascii="Arial" w:hAnsi="Arial" w:cs="Arial"/>
                <w:sz w:val="18"/>
                <w:szCs w:val="18"/>
              </w:rPr>
            </w:pPr>
          </w:p>
          <w:p w14:paraId="343819BD" w14:textId="77777777" w:rsidR="00D143DF" w:rsidRDefault="00D143DF" w:rsidP="00740C0C">
            <w:pPr>
              <w:spacing w:before="40" w:after="40"/>
              <w:jc w:val="center"/>
              <w:rPr>
                <w:rFonts w:ascii="Arial" w:hAnsi="Arial" w:cs="Arial"/>
                <w:sz w:val="18"/>
                <w:szCs w:val="18"/>
              </w:rPr>
            </w:pPr>
          </w:p>
          <w:p w14:paraId="674030B7" w14:textId="77777777" w:rsidR="00E74EE4"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r>
      <w:tr w:rsidR="00E74EE4" w:rsidRPr="00D143DF" w14:paraId="07FD1663" w14:textId="77777777" w:rsidTr="00462DF1">
        <w:tc>
          <w:tcPr>
            <w:tcW w:w="2258" w:type="dxa"/>
          </w:tcPr>
          <w:p w14:paraId="3886D2DE" w14:textId="56CCBAFF" w:rsidR="00E74EE4" w:rsidRPr="00D143DF" w:rsidRDefault="00740C0C" w:rsidP="00740C0C">
            <w:pPr>
              <w:spacing w:before="40" w:after="40"/>
              <w:rPr>
                <w:rFonts w:ascii="Arial" w:hAnsi="Arial" w:cs="Arial"/>
                <w:sz w:val="18"/>
                <w:szCs w:val="18"/>
              </w:rPr>
            </w:pPr>
            <w:r>
              <w:rPr>
                <w:rFonts w:ascii="Arial" w:hAnsi="Arial" w:cs="Arial"/>
                <w:sz w:val="18"/>
                <w:szCs w:val="18"/>
              </w:rPr>
              <w:t>h</w:t>
            </w:r>
            <w:r w:rsidR="001E7369" w:rsidRPr="00D143DF">
              <w:rPr>
                <w:rFonts w:ascii="Arial" w:hAnsi="Arial" w:cs="Arial"/>
                <w:sz w:val="18"/>
                <w:szCs w:val="18"/>
              </w:rPr>
              <w:t>oher Preis</w:t>
            </w:r>
          </w:p>
        </w:tc>
        <w:tc>
          <w:tcPr>
            <w:tcW w:w="3297" w:type="dxa"/>
          </w:tcPr>
          <w:p w14:paraId="275455AF" w14:textId="36CE5197" w:rsidR="00E74EE4" w:rsidRPr="00D143DF" w:rsidRDefault="001E7369" w:rsidP="00740C0C">
            <w:pPr>
              <w:spacing w:before="40" w:after="40"/>
              <w:rPr>
                <w:rFonts w:ascii="Arial" w:hAnsi="Arial" w:cs="Arial"/>
                <w:sz w:val="18"/>
                <w:szCs w:val="18"/>
              </w:rPr>
            </w:pPr>
            <w:r w:rsidRPr="00D143DF">
              <w:rPr>
                <w:rFonts w:ascii="Arial" w:hAnsi="Arial" w:cs="Arial"/>
                <w:sz w:val="18"/>
                <w:szCs w:val="18"/>
              </w:rPr>
              <w:t xml:space="preserve">Die Anschaffung eines teuren und schnellen Wagens ist nicht stets "unangemessen" </w:t>
            </w:r>
            <w:proofErr w:type="spellStart"/>
            <w:r w:rsidRPr="00D143DF">
              <w:rPr>
                <w:rFonts w:ascii="Arial" w:hAnsi="Arial" w:cs="Arial"/>
                <w:sz w:val="18"/>
                <w:szCs w:val="18"/>
              </w:rPr>
              <w:t>i.S.d</w:t>
            </w:r>
            <w:proofErr w:type="spellEnd"/>
            <w:r w:rsidR="00740C0C">
              <w:rPr>
                <w:rFonts w:ascii="Arial" w:hAnsi="Arial" w:cs="Arial"/>
                <w:sz w:val="18"/>
                <w:szCs w:val="18"/>
              </w:rPr>
              <w:t>.</w:t>
            </w:r>
            <w:r w:rsidRPr="00D143DF">
              <w:rPr>
                <w:rFonts w:ascii="Arial" w:hAnsi="Arial" w:cs="Arial"/>
                <w:sz w:val="18"/>
                <w:szCs w:val="18"/>
              </w:rPr>
              <w:t xml:space="preserve"> § 4 Abs. 5 Satz 1 Nr. 7 EStG, wenn die Benutzung eines repräsentativen Wagens für den Geschäftserfolg keine Bedeutung hat. Vielmehr ist die Bedeutung des Repräsentationsaufwands nur eine von mehreren Tatsachen, die im Einzelfall zu würdigen und gegeneinander abzuwägen sind.</w:t>
            </w:r>
          </w:p>
        </w:tc>
        <w:tc>
          <w:tcPr>
            <w:tcW w:w="1499" w:type="dxa"/>
          </w:tcPr>
          <w:p w14:paraId="6967D58A" w14:textId="4189284E" w:rsidR="00E74EE4" w:rsidRPr="00D143DF" w:rsidRDefault="001E7369" w:rsidP="00740C0C">
            <w:pPr>
              <w:spacing w:before="40" w:after="40"/>
              <w:rPr>
                <w:rFonts w:ascii="Arial" w:hAnsi="Arial" w:cs="Arial"/>
                <w:sz w:val="18"/>
                <w:szCs w:val="18"/>
              </w:rPr>
            </w:pPr>
            <w:proofErr w:type="spellStart"/>
            <w:r w:rsidRPr="00D143DF">
              <w:rPr>
                <w:rFonts w:ascii="Arial" w:hAnsi="Arial" w:cs="Arial"/>
                <w:sz w:val="18"/>
                <w:szCs w:val="18"/>
              </w:rPr>
              <w:t>Vgl</w:t>
            </w:r>
            <w:proofErr w:type="spellEnd"/>
            <w:r w:rsidRPr="00D143DF">
              <w:rPr>
                <w:rFonts w:ascii="Arial" w:hAnsi="Arial" w:cs="Arial"/>
                <w:sz w:val="18"/>
                <w:szCs w:val="18"/>
              </w:rPr>
              <w:t xml:space="preserve"> BFH</w:t>
            </w:r>
            <w:r w:rsidR="00740C0C">
              <w:rPr>
                <w:rFonts w:ascii="Arial" w:hAnsi="Arial" w:cs="Arial"/>
                <w:sz w:val="18"/>
                <w:szCs w:val="18"/>
              </w:rPr>
              <w:t>, Urt.</w:t>
            </w:r>
            <w:r w:rsidRPr="00D143DF">
              <w:rPr>
                <w:rFonts w:ascii="Arial" w:hAnsi="Arial" w:cs="Arial"/>
                <w:sz w:val="18"/>
                <w:szCs w:val="18"/>
              </w:rPr>
              <w:t xml:space="preserve"> v. 29.</w:t>
            </w:r>
            <w:r w:rsidR="00740C0C">
              <w:rPr>
                <w:rFonts w:ascii="Arial" w:hAnsi="Arial" w:cs="Arial"/>
                <w:sz w:val="18"/>
                <w:szCs w:val="18"/>
              </w:rPr>
              <w:t>0</w:t>
            </w:r>
            <w:r w:rsidRPr="00D143DF">
              <w:rPr>
                <w:rFonts w:ascii="Arial" w:hAnsi="Arial" w:cs="Arial"/>
                <w:sz w:val="18"/>
                <w:szCs w:val="18"/>
              </w:rPr>
              <w:t>4.2014</w:t>
            </w:r>
            <w:r w:rsidR="00740C0C">
              <w:rPr>
                <w:rFonts w:ascii="Arial" w:hAnsi="Arial" w:cs="Arial"/>
                <w:sz w:val="18"/>
                <w:szCs w:val="18"/>
              </w:rPr>
              <w:t xml:space="preserve"> –</w:t>
            </w:r>
            <w:r w:rsidRPr="00D143DF">
              <w:rPr>
                <w:rFonts w:ascii="Arial" w:hAnsi="Arial" w:cs="Arial"/>
                <w:sz w:val="18"/>
                <w:szCs w:val="18"/>
              </w:rPr>
              <w:t xml:space="preserve"> VIII R 20/12, </w:t>
            </w:r>
            <w:proofErr w:type="spellStart"/>
            <w:r w:rsidRPr="00D143DF">
              <w:rPr>
                <w:rFonts w:ascii="Arial" w:hAnsi="Arial" w:cs="Arial"/>
                <w:sz w:val="18"/>
                <w:szCs w:val="18"/>
              </w:rPr>
              <w:t>BStBl</w:t>
            </w:r>
            <w:proofErr w:type="spellEnd"/>
            <w:r w:rsidR="00740C0C">
              <w:rPr>
                <w:rFonts w:ascii="Arial" w:hAnsi="Arial" w:cs="Arial"/>
                <w:sz w:val="18"/>
                <w:szCs w:val="18"/>
              </w:rPr>
              <w:t xml:space="preserve"> II</w:t>
            </w:r>
            <w:r w:rsidRPr="00D143DF">
              <w:rPr>
                <w:rFonts w:ascii="Arial" w:hAnsi="Arial" w:cs="Arial"/>
                <w:sz w:val="18"/>
                <w:szCs w:val="18"/>
              </w:rPr>
              <w:t xml:space="preserve"> 2014, 679; für allgemein anwendbar erklärt durch BMF am 15.</w:t>
            </w:r>
            <w:r w:rsidR="00740C0C">
              <w:rPr>
                <w:rFonts w:ascii="Arial" w:hAnsi="Arial" w:cs="Arial"/>
                <w:sz w:val="18"/>
                <w:szCs w:val="18"/>
              </w:rPr>
              <w:t>0</w:t>
            </w:r>
            <w:r w:rsidRPr="00D143DF">
              <w:rPr>
                <w:rFonts w:ascii="Arial" w:hAnsi="Arial" w:cs="Arial"/>
                <w:sz w:val="18"/>
                <w:szCs w:val="18"/>
              </w:rPr>
              <w:t xml:space="preserve">9.2014, </w:t>
            </w:r>
            <w:proofErr w:type="spellStart"/>
            <w:r w:rsidRPr="00D143DF">
              <w:rPr>
                <w:rFonts w:ascii="Arial" w:hAnsi="Arial" w:cs="Arial"/>
                <w:sz w:val="18"/>
                <w:szCs w:val="18"/>
              </w:rPr>
              <w:t>m.w.N</w:t>
            </w:r>
            <w:proofErr w:type="spellEnd"/>
            <w:r w:rsidRPr="00D143DF">
              <w:rPr>
                <w:rFonts w:ascii="Arial" w:hAnsi="Arial" w:cs="Arial"/>
                <w:sz w:val="18"/>
                <w:szCs w:val="18"/>
              </w:rPr>
              <w:t xml:space="preserve">. (Urteilsquellen) in </w:t>
            </w:r>
            <w:proofErr w:type="spellStart"/>
            <w:r w:rsidRPr="00D143DF">
              <w:rPr>
                <w:rFonts w:ascii="Arial" w:hAnsi="Arial" w:cs="Arial"/>
                <w:sz w:val="18"/>
                <w:szCs w:val="18"/>
              </w:rPr>
              <w:t>Rz</w:t>
            </w:r>
            <w:proofErr w:type="spellEnd"/>
            <w:r w:rsidRPr="00D143DF">
              <w:rPr>
                <w:rFonts w:ascii="Arial" w:hAnsi="Arial" w:cs="Arial"/>
                <w:sz w:val="18"/>
                <w:szCs w:val="18"/>
              </w:rPr>
              <w:t>. 30</w:t>
            </w:r>
          </w:p>
        </w:tc>
        <w:tc>
          <w:tcPr>
            <w:tcW w:w="1413" w:type="dxa"/>
          </w:tcPr>
          <w:p w14:paraId="4F780D76" w14:textId="77777777" w:rsidR="00E74EE4" w:rsidRPr="00D143DF" w:rsidRDefault="00E74EE4" w:rsidP="00740C0C">
            <w:pPr>
              <w:spacing w:before="40" w:after="40"/>
              <w:jc w:val="center"/>
              <w:rPr>
                <w:rFonts w:ascii="Arial" w:hAnsi="Arial" w:cs="Arial"/>
                <w:sz w:val="18"/>
                <w:szCs w:val="18"/>
              </w:rPr>
            </w:pPr>
          </w:p>
        </w:tc>
        <w:tc>
          <w:tcPr>
            <w:tcW w:w="688" w:type="dxa"/>
          </w:tcPr>
          <w:p w14:paraId="4BA94B26" w14:textId="77777777" w:rsidR="00D143DF" w:rsidRDefault="00D143DF" w:rsidP="00740C0C">
            <w:pPr>
              <w:spacing w:before="40" w:after="40"/>
              <w:jc w:val="center"/>
              <w:rPr>
                <w:rFonts w:ascii="Arial" w:hAnsi="Arial" w:cs="Arial"/>
                <w:sz w:val="18"/>
                <w:szCs w:val="18"/>
              </w:rPr>
            </w:pPr>
          </w:p>
          <w:p w14:paraId="38B4BE22" w14:textId="77777777" w:rsidR="00D143DF" w:rsidRDefault="00D143DF" w:rsidP="00740C0C">
            <w:pPr>
              <w:spacing w:before="40" w:after="40"/>
              <w:jc w:val="center"/>
              <w:rPr>
                <w:rFonts w:ascii="Arial" w:hAnsi="Arial" w:cs="Arial"/>
                <w:sz w:val="18"/>
                <w:szCs w:val="18"/>
              </w:rPr>
            </w:pPr>
          </w:p>
          <w:p w14:paraId="08EEE337" w14:textId="77777777" w:rsidR="00E74EE4"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c>
          <w:tcPr>
            <w:tcW w:w="694" w:type="dxa"/>
          </w:tcPr>
          <w:p w14:paraId="4F8F65AF" w14:textId="77777777" w:rsidR="00D143DF" w:rsidRDefault="00D143DF" w:rsidP="00740C0C">
            <w:pPr>
              <w:spacing w:before="40" w:after="40"/>
              <w:jc w:val="center"/>
              <w:rPr>
                <w:rFonts w:ascii="Arial" w:hAnsi="Arial" w:cs="Arial"/>
                <w:sz w:val="18"/>
                <w:szCs w:val="18"/>
              </w:rPr>
            </w:pPr>
          </w:p>
          <w:p w14:paraId="4B3CC6F6" w14:textId="77777777" w:rsidR="00D143DF" w:rsidRDefault="00D143DF" w:rsidP="00740C0C">
            <w:pPr>
              <w:spacing w:before="40" w:after="40"/>
              <w:jc w:val="center"/>
              <w:rPr>
                <w:rFonts w:ascii="Arial" w:hAnsi="Arial" w:cs="Arial"/>
                <w:sz w:val="18"/>
                <w:szCs w:val="18"/>
              </w:rPr>
            </w:pPr>
          </w:p>
          <w:p w14:paraId="75A9A3C8" w14:textId="77777777" w:rsidR="00E74EE4"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r>
      <w:tr w:rsidR="00E74EE4" w:rsidRPr="00D143DF" w14:paraId="6BCA5A05" w14:textId="77777777" w:rsidTr="00462DF1">
        <w:tc>
          <w:tcPr>
            <w:tcW w:w="2258" w:type="dxa"/>
          </w:tcPr>
          <w:p w14:paraId="135088A4" w14:textId="77777777" w:rsidR="00E74EE4" w:rsidRPr="00D143DF" w:rsidRDefault="001E7369" w:rsidP="00740C0C">
            <w:pPr>
              <w:spacing w:before="40" w:after="40"/>
              <w:rPr>
                <w:rFonts w:ascii="Arial" w:hAnsi="Arial" w:cs="Arial"/>
                <w:sz w:val="18"/>
                <w:szCs w:val="18"/>
              </w:rPr>
            </w:pPr>
            <w:r w:rsidRPr="00D143DF">
              <w:rPr>
                <w:rFonts w:ascii="Arial" w:hAnsi="Arial" w:cs="Arial"/>
                <w:sz w:val="18"/>
                <w:szCs w:val="18"/>
              </w:rPr>
              <w:t>Liebhaberfahrzeuge</w:t>
            </w:r>
          </w:p>
        </w:tc>
        <w:tc>
          <w:tcPr>
            <w:tcW w:w="3297" w:type="dxa"/>
          </w:tcPr>
          <w:p w14:paraId="1396C9A8" w14:textId="74F64CCC" w:rsidR="00E74EE4" w:rsidRPr="00D143DF" w:rsidRDefault="001E7369" w:rsidP="00740C0C">
            <w:pPr>
              <w:spacing w:before="40" w:after="40"/>
              <w:rPr>
                <w:rFonts w:ascii="Arial" w:hAnsi="Arial" w:cs="Arial"/>
                <w:sz w:val="18"/>
                <w:szCs w:val="18"/>
              </w:rPr>
            </w:pPr>
            <w:r w:rsidRPr="00D143DF">
              <w:rPr>
                <w:rFonts w:ascii="Arial" w:hAnsi="Arial" w:cs="Arial"/>
                <w:sz w:val="18"/>
                <w:szCs w:val="18"/>
              </w:rPr>
              <w:t xml:space="preserve">Sind Kfz-Kosten durch betriebliche Anlässe </w:t>
            </w:r>
            <w:r w:rsidR="00740C0C">
              <w:rPr>
                <w:rFonts w:ascii="Arial" w:hAnsi="Arial" w:cs="Arial"/>
                <w:sz w:val="18"/>
                <w:szCs w:val="18"/>
              </w:rPr>
              <w:t>–</w:t>
            </w:r>
            <w:r w:rsidRPr="00D143DF">
              <w:rPr>
                <w:rFonts w:ascii="Arial" w:hAnsi="Arial" w:cs="Arial"/>
                <w:sz w:val="18"/>
                <w:szCs w:val="18"/>
              </w:rPr>
              <w:t xml:space="preserve"> wie im Streitfall anhand des ordnungsgemäßen Fahrtenbuchs nachgewiesen </w:t>
            </w:r>
            <w:r w:rsidR="00740C0C">
              <w:rPr>
                <w:rFonts w:ascii="Arial" w:hAnsi="Arial" w:cs="Arial"/>
                <w:sz w:val="18"/>
                <w:szCs w:val="18"/>
              </w:rPr>
              <w:t>–</w:t>
            </w:r>
            <w:r w:rsidRPr="00D143DF">
              <w:rPr>
                <w:rFonts w:ascii="Arial" w:hAnsi="Arial" w:cs="Arial"/>
                <w:sz w:val="18"/>
                <w:szCs w:val="18"/>
              </w:rPr>
              <w:t xml:space="preserve"> entstanden, so kann die ggf. nach § 4 Abs. 5 Satz 1 Nr. 7 EStG festzustellende Unangemessenheit der Aufwendungen nicht die betriebliche Veranlassung der Aufwendungen </w:t>
            </w:r>
            <w:proofErr w:type="spellStart"/>
            <w:r w:rsidRPr="00D143DF">
              <w:rPr>
                <w:rFonts w:ascii="Arial" w:hAnsi="Arial" w:cs="Arial"/>
                <w:sz w:val="18"/>
                <w:szCs w:val="18"/>
              </w:rPr>
              <w:t>i.S.d</w:t>
            </w:r>
            <w:proofErr w:type="spellEnd"/>
            <w:r w:rsidR="00740C0C">
              <w:rPr>
                <w:rFonts w:ascii="Arial" w:hAnsi="Arial" w:cs="Arial"/>
                <w:sz w:val="18"/>
                <w:szCs w:val="18"/>
              </w:rPr>
              <w:t>.</w:t>
            </w:r>
            <w:r w:rsidRPr="00D143DF">
              <w:rPr>
                <w:rFonts w:ascii="Arial" w:hAnsi="Arial" w:cs="Arial"/>
                <w:sz w:val="18"/>
                <w:szCs w:val="18"/>
              </w:rPr>
              <w:t xml:space="preserve"> § 4 Abs. 4 EStG in Frage stellen. Vielmehr ist die Abziehbarkeit unangemessener (betrieblicher) Aufwendungen allein durch die in § 4 Abs. 5 EStG geregelten Abzugsverbote oder -beschränkungen begrenzt. Denn selbst dann, wenn die Zuführung eines P</w:t>
            </w:r>
            <w:r w:rsidR="00740C0C">
              <w:rPr>
                <w:rFonts w:ascii="Arial" w:hAnsi="Arial" w:cs="Arial"/>
                <w:sz w:val="18"/>
                <w:szCs w:val="18"/>
              </w:rPr>
              <w:t>kw</w:t>
            </w:r>
            <w:r w:rsidRPr="00D143DF">
              <w:rPr>
                <w:rFonts w:ascii="Arial" w:hAnsi="Arial" w:cs="Arial"/>
                <w:sz w:val="18"/>
                <w:szCs w:val="18"/>
              </w:rPr>
              <w:t xml:space="preserve"> zum Betriebsvermögen eines Unternehmers wegen seiner Eigenschaft als reines Lieb</w:t>
            </w:r>
            <w:r w:rsidRPr="00D143DF">
              <w:rPr>
                <w:rFonts w:ascii="Arial" w:hAnsi="Arial" w:cs="Arial"/>
                <w:sz w:val="18"/>
                <w:szCs w:val="18"/>
              </w:rPr>
              <w:lastRenderedPageBreak/>
              <w:t>haberfahrzeug nicht als betrieblich veranlasst anzusehen sein sollte, schließt dies nach der BFH-Rechtsprechung nicht aus, dass einzelne Fahrten mit diesem Fahrzeug als betrieblich veranlasst anzusehen sind (BFH</w:t>
            </w:r>
            <w:r w:rsidR="00740C0C">
              <w:rPr>
                <w:rFonts w:ascii="Arial" w:hAnsi="Arial" w:cs="Arial"/>
                <w:sz w:val="18"/>
                <w:szCs w:val="18"/>
              </w:rPr>
              <w:t xml:space="preserve">, </w:t>
            </w:r>
            <w:r w:rsidRPr="00D143DF">
              <w:rPr>
                <w:rFonts w:ascii="Arial" w:hAnsi="Arial" w:cs="Arial"/>
                <w:sz w:val="18"/>
                <w:szCs w:val="18"/>
              </w:rPr>
              <w:t>Beschl</w:t>
            </w:r>
            <w:r w:rsidR="00740C0C">
              <w:rPr>
                <w:rFonts w:ascii="Arial" w:hAnsi="Arial" w:cs="Arial"/>
                <w:sz w:val="18"/>
                <w:szCs w:val="18"/>
              </w:rPr>
              <w:t>.</w:t>
            </w:r>
            <w:r w:rsidRPr="00D143DF">
              <w:rPr>
                <w:rFonts w:ascii="Arial" w:hAnsi="Arial" w:cs="Arial"/>
                <w:sz w:val="18"/>
                <w:szCs w:val="18"/>
              </w:rPr>
              <w:t xml:space="preserve"> v</w:t>
            </w:r>
            <w:r w:rsidR="00740C0C">
              <w:rPr>
                <w:rFonts w:ascii="Arial" w:hAnsi="Arial" w:cs="Arial"/>
                <w:sz w:val="18"/>
                <w:szCs w:val="18"/>
              </w:rPr>
              <w:t>.</w:t>
            </w:r>
            <w:r w:rsidRPr="00D143DF">
              <w:rPr>
                <w:rFonts w:ascii="Arial" w:hAnsi="Arial" w:cs="Arial"/>
                <w:sz w:val="18"/>
                <w:szCs w:val="18"/>
              </w:rPr>
              <w:t xml:space="preserve"> </w:t>
            </w:r>
            <w:r w:rsidR="00740C0C">
              <w:rPr>
                <w:rFonts w:ascii="Arial" w:hAnsi="Arial" w:cs="Arial"/>
                <w:sz w:val="18"/>
                <w:szCs w:val="18"/>
              </w:rPr>
              <w:t>0</w:t>
            </w:r>
            <w:r w:rsidRPr="00D143DF">
              <w:rPr>
                <w:rFonts w:ascii="Arial" w:hAnsi="Arial" w:cs="Arial"/>
                <w:sz w:val="18"/>
                <w:szCs w:val="18"/>
              </w:rPr>
              <w:t>5.</w:t>
            </w:r>
            <w:r w:rsidR="00740C0C">
              <w:rPr>
                <w:rFonts w:ascii="Arial" w:hAnsi="Arial" w:cs="Arial"/>
                <w:sz w:val="18"/>
                <w:szCs w:val="18"/>
              </w:rPr>
              <w:t>02.</w:t>
            </w:r>
            <w:r w:rsidRPr="00D143DF">
              <w:rPr>
                <w:rFonts w:ascii="Arial" w:hAnsi="Arial" w:cs="Arial"/>
                <w:sz w:val="18"/>
                <w:szCs w:val="18"/>
              </w:rPr>
              <w:t xml:space="preserve">2007 </w:t>
            </w:r>
            <w:r w:rsidR="00740C0C">
              <w:rPr>
                <w:rFonts w:ascii="Arial" w:hAnsi="Arial" w:cs="Arial"/>
                <w:sz w:val="18"/>
                <w:szCs w:val="18"/>
              </w:rPr>
              <w:t xml:space="preserve">– </w:t>
            </w:r>
            <w:r w:rsidRPr="00D143DF">
              <w:rPr>
                <w:rFonts w:ascii="Arial" w:hAnsi="Arial" w:cs="Arial"/>
                <w:sz w:val="18"/>
                <w:szCs w:val="18"/>
              </w:rPr>
              <w:t>IV B 73/05, BFH/NV 2007, 1106).</w:t>
            </w:r>
          </w:p>
        </w:tc>
        <w:tc>
          <w:tcPr>
            <w:tcW w:w="1499" w:type="dxa"/>
          </w:tcPr>
          <w:p w14:paraId="1AC2EFDA" w14:textId="20D9422B" w:rsidR="00E74EE4" w:rsidRPr="00D143DF" w:rsidRDefault="001E7369" w:rsidP="00740C0C">
            <w:pPr>
              <w:spacing w:before="40" w:after="40"/>
              <w:rPr>
                <w:rFonts w:ascii="Arial" w:hAnsi="Arial" w:cs="Arial"/>
                <w:sz w:val="18"/>
                <w:szCs w:val="18"/>
              </w:rPr>
            </w:pPr>
            <w:proofErr w:type="spellStart"/>
            <w:r w:rsidRPr="00D143DF">
              <w:rPr>
                <w:rFonts w:ascii="Arial" w:hAnsi="Arial" w:cs="Arial"/>
                <w:sz w:val="18"/>
                <w:szCs w:val="18"/>
              </w:rPr>
              <w:lastRenderedPageBreak/>
              <w:t>Vgl</w:t>
            </w:r>
            <w:proofErr w:type="spellEnd"/>
            <w:r w:rsidRPr="00D143DF">
              <w:rPr>
                <w:rFonts w:ascii="Arial" w:hAnsi="Arial" w:cs="Arial"/>
                <w:sz w:val="18"/>
                <w:szCs w:val="18"/>
              </w:rPr>
              <w:t xml:space="preserve"> BFH</w:t>
            </w:r>
            <w:r w:rsidR="00740C0C">
              <w:rPr>
                <w:rFonts w:ascii="Arial" w:hAnsi="Arial" w:cs="Arial"/>
                <w:sz w:val="18"/>
                <w:szCs w:val="18"/>
              </w:rPr>
              <w:t>, Urt.</w:t>
            </w:r>
            <w:r w:rsidRPr="00D143DF">
              <w:rPr>
                <w:rFonts w:ascii="Arial" w:hAnsi="Arial" w:cs="Arial"/>
                <w:sz w:val="18"/>
                <w:szCs w:val="18"/>
              </w:rPr>
              <w:t xml:space="preserve"> v. 29.</w:t>
            </w:r>
            <w:r w:rsidR="00740C0C">
              <w:rPr>
                <w:rFonts w:ascii="Arial" w:hAnsi="Arial" w:cs="Arial"/>
                <w:sz w:val="18"/>
                <w:szCs w:val="18"/>
              </w:rPr>
              <w:t>0</w:t>
            </w:r>
            <w:r w:rsidRPr="00D143DF">
              <w:rPr>
                <w:rFonts w:ascii="Arial" w:hAnsi="Arial" w:cs="Arial"/>
                <w:sz w:val="18"/>
                <w:szCs w:val="18"/>
              </w:rPr>
              <w:t>4.2014</w:t>
            </w:r>
            <w:r w:rsidR="00740C0C">
              <w:rPr>
                <w:rFonts w:ascii="Arial" w:hAnsi="Arial" w:cs="Arial"/>
                <w:sz w:val="18"/>
                <w:szCs w:val="18"/>
              </w:rPr>
              <w:t xml:space="preserve"> –</w:t>
            </w:r>
            <w:r w:rsidRPr="00D143DF">
              <w:rPr>
                <w:rFonts w:ascii="Arial" w:hAnsi="Arial" w:cs="Arial"/>
                <w:sz w:val="18"/>
                <w:szCs w:val="18"/>
              </w:rPr>
              <w:t xml:space="preserve"> VIII R 20/12, </w:t>
            </w:r>
            <w:proofErr w:type="spellStart"/>
            <w:r w:rsidRPr="00D143DF">
              <w:rPr>
                <w:rFonts w:ascii="Arial" w:hAnsi="Arial" w:cs="Arial"/>
                <w:sz w:val="18"/>
                <w:szCs w:val="18"/>
              </w:rPr>
              <w:t>BStBl</w:t>
            </w:r>
            <w:proofErr w:type="spellEnd"/>
            <w:r w:rsidR="00740C0C">
              <w:rPr>
                <w:rFonts w:ascii="Arial" w:hAnsi="Arial" w:cs="Arial"/>
                <w:sz w:val="18"/>
                <w:szCs w:val="18"/>
              </w:rPr>
              <w:t xml:space="preserve"> II</w:t>
            </w:r>
            <w:r w:rsidRPr="00D143DF">
              <w:rPr>
                <w:rFonts w:ascii="Arial" w:hAnsi="Arial" w:cs="Arial"/>
                <w:sz w:val="18"/>
                <w:szCs w:val="18"/>
              </w:rPr>
              <w:t xml:space="preserve"> 2014,</w:t>
            </w:r>
            <w:r w:rsidR="00740C0C">
              <w:rPr>
                <w:rFonts w:ascii="Arial" w:hAnsi="Arial" w:cs="Arial"/>
                <w:sz w:val="18"/>
                <w:szCs w:val="18"/>
              </w:rPr>
              <w:t xml:space="preserve"> </w:t>
            </w:r>
            <w:r w:rsidRPr="00D143DF">
              <w:rPr>
                <w:rFonts w:ascii="Arial" w:hAnsi="Arial" w:cs="Arial"/>
                <w:sz w:val="18"/>
                <w:szCs w:val="18"/>
              </w:rPr>
              <w:t>679; für allgemein anwendbar erklärt durch BMF am 15.</w:t>
            </w:r>
            <w:r w:rsidR="00740C0C">
              <w:rPr>
                <w:rFonts w:ascii="Arial" w:hAnsi="Arial" w:cs="Arial"/>
                <w:sz w:val="18"/>
                <w:szCs w:val="18"/>
              </w:rPr>
              <w:t>0</w:t>
            </w:r>
            <w:r w:rsidRPr="00D143DF">
              <w:rPr>
                <w:rFonts w:ascii="Arial" w:hAnsi="Arial" w:cs="Arial"/>
                <w:sz w:val="18"/>
                <w:szCs w:val="18"/>
              </w:rPr>
              <w:t xml:space="preserve">9.2014, </w:t>
            </w:r>
            <w:proofErr w:type="spellStart"/>
            <w:r w:rsidRPr="00D143DF">
              <w:rPr>
                <w:rFonts w:ascii="Arial" w:hAnsi="Arial" w:cs="Arial"/>
                <w:sz w:val="18"/>
                <w:szCs w:val="18"/>
              </w:rPr>
              <w:t>m.w.N</w:t>
            </w:r>
            <w:proofErr w:type="spellEnd"/>
            <w:r w:rsidRPr="00D143DF">
              <w:rPr>
                <w:rFonts w:ascii="Arial" w:hAnsi="Arial" w:cs="Arial"/>
                <w:sz w:val="18"/>
                <w:szCs w:val="18"/>
              </w:rPr>
              <w:t xml:space="preserve">. (Urteilsquellen) in </w:t>
            </w:r>
            <w:proofErr w:type="spellStart"/>
            <w:r w:rsidRPr="00D143DF">
              <w:rPr>
                <w:rFonts w:ascii="Arial" w:hAnsi="Arial" w:cs="Arial"/>
                <w:sz w:val="18"/>
                <w:szCs w:val="18"/>
              </w:rPr>
              <w:t>Rz</w:t>
            </w:r>
            <w:proofErr w:type="spellEnd"/>
            <w:r w:rsidRPr="00D143DF">
              <w:rPr>
                <w:rFonts w:ascii="Arial" w:hAnsi="Arial" w:cs="Arial"/>
                <w:sz w:val="18"/>
                <w:szCs w:val="18"/>
              </w:rPr>
              <w:t>. 22</w:t>
            </w:r>
          </w:p>
        </w:tc>
        <w:tc>
          <w:tcPr>
            <w:tcW w:w="1413" w:type="dxa"/>
          </w:tcPr>
          <w:p w14:paraId="43782C0D" w14:textId="77777777" w:rsidR="00E74EE4" w:rsidRPr="00D143DF" w:rsidRDefault="00E74EE4" w:rsidP="00740C0C">
            <w:pPr>
              <w:spacing w:before="40" w:after="40"/>
              <w:jc w:val="center"/>
              <w:rPr>
                <w:rFonts w:ascii="Arial" w:hAnsi="Arial" w:cs="Arial"/>
                <w:sz w:val="18"/>
                <w:szCs w:val="18"/>
              </w:rPr>
            </w:pPr>
          </w:p>
        </w:tc>
        <w:tc>
          <w:tcPr>
            <w:tcW w:w="688" w:type="dxa"/>
          </w:tcPr>
          <w:p w14:paraId="743ECEDA" w14:textId="77777777" w:rsidR="00D143DF" w:rsidRDefault="00D143DF" w:rsidP="00740C0C">
            <w:pPr>
              <w:spacing w:before="40" w:after="40"/>
              <w:jc w:val="center"/>
              <w:rPr>
                <w:rFonts w:ascii="Arial" w:hAnsi="Arial" w:cs="Arial"/>
                <w:sz w:val="18"/>
                <w:szCs w:val="18"/>
              </w:rPr>
            </w:pPr>
          </w:p>
          <w:p w14:paraId="2892831F" w14:textId="77777777" w:rsidR="00D143DF" w:rsidRDefault="00D143DF" w:rsidP="00740C0C">
            <w:pPr>
              <w:spacing w:before="40" w:after="40"/>
              <w:jc w:val="center"/>
              <w:rPr>
                <w:rFonts w:ascii="Arial" w:hAnsi="Arial" w:cs="Arial"/>
                <w:sz w:val="18"/>
                <w:szCs w:val="18"/>
              </w:rPr>
            </w:pPr>
          </w:p>
          <w:p w14:paraId="17BD14E8" w14:textId="77777777" w:rsidR="00E74EE4"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c>
          <w:tcPr>
            <w:tcW w:w="694" w:type="dxa"/>
          </w:tcPr>
          <w:p w14:paraId="4BD7B730" w14:textId="77777777" w:rsidR="00D143DF" w:rsidRDefault="00D143DF" w:rsidP="00740C0C">
            <w:pPr>
              <w:spacing w:before="40" w:after="40"/>
              <w:jc w:val="center"/>
              <w:rPr>
                <w:rFonts w:ascii="Arial" w:hAnsi="Arial" w:cs="Arial"/>
                <w:sz w:val="18"/>
                <w:szCs w:val="18"/>
              </w:rPr>
            </w:pPr>
          </w:p>
          <w:p w14:paraId="2D9B7B0A" w14:textId="77777777" w:rsidR="00D143DF" w:rsidRDefault="00D143DF" w:rsidP="00740C0C">
            <w:pPr>
              <w:spacing w:before="40" w:after="40"/>
              <w:jc w:val="center"/>
              <w:rPr>
                <w:rFonts w:ascii="Arial" w:hAnsi="Arial" w:cs="Arial"/>
                <w:sz w:val="18"/>
                <w:szCs w:val="18"/>
              </w:rPr>
            </w:pPr>
          </w:p>
          <w:p w14:paraId="40CBF6DD" w14:textId="77777777" w:rsidR="00E74EE4" w:rsidRPr="00D143DF" w:rsidRDefault="00D143DF" w:rsidP="00740C0C">
            <w:pPr>
              <w:spacing w:before="40" w:after="40"/>
              <w:jc w:val="center"/>
              <w:rPr>
                <w:rFonts w:ascii="Arial" w:hAnsi="Arial" w:cs="Arial"/>
                <w:sz w:val="18"/>
                <w:szCs w:val="18"/>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D6E9D">
              <w:rPr>
                <w:rFonts w:ascii="Arial" w:hAnsi="Arial" w:cs="Arial"/>
              </w:rPr>
            </w:r>
            <w:r w:rsidR="005D6E9D">
              <w:rPr>
                <w:rFonts w:ascii="Arial" w:hAnsi="Arial" w:cs="Arial"/>
              </w:rPr>
              <w:fldChar w:fldCharType="separate"/>
            </w:r>
            <w:r>
              <w:rPr>
                <w:rFonts w:ascii="Arial" w:hAnsi="Arial" w:cs="Arial"/>
              </w:rPr>
              <w:fldChar w:fldCharType="end"/>
            </w:r>
          </w:p>
        </w:tc>
      </w:tr>
    </w:tbl>
    <w:p w14:paraId="4CEC5492" w14:textId="77777777" w:rsidR="00375A70" w:rsidRPr="00D143DF" w:rsidRDefault="00375A70">
      <w:pPr>
        <w:rPr>
          <w:rFonts w:ascii="Arial" w:hAnsi="Arial" w:cs="Arial"/>
          <w:sz w:val="20"/>
          <w:szCs w:val="20"/>
        </w:rPr>
      </w:pPr>
    </w:p>
    <w:sectPr w:rsidR="00375A70" w:rsidRPr="00D143D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2E3C" w14:textId="77777777" w:rsidR="005D6E9D" w:rsidRDefault="005D6E9D" w:rsidP="008A7DE3">
      <w:pPr>
        <w:spacing w:after="0" w:line="240" w:lineRule="auto"/>
      </w:pPr>
      <w:r>
        <w:separator/>
      </w:r>
    </w:p>
  </w:endnote>
  <w:endnote w:type="continuationSeparator" w:id="0">
    <w:p w14:paraId="38612A5E" w14:textId="77777777" w:rsidR="005D6E9D" w:rsidRDefault="005D6E9D" w:rsidP="008A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DDE0" w14:textId="77777777" w:rsidR="008A7DE3" w:rsidRDefault="008A7DE3" w:rsidP="008A7DE3">
    <w:pPr>
      <w:pStyle w:val="Fuzeile"/>
      <w:rPr>
        <w:rFonts w:ascii="Arial" w:hAnsi="Arial" w:cs="Arial"/>
        <w:sz w:val="18"/>
        <w:szCs w:val="18"/>
      </w:rPr>
    </w:pPr>
  </w:p>
  <w:p w14:paraId="39B4C36D" w14:textId="77777777" w:rsidR="008A7DE3" w:rsidRPr="00736F4C" w:rsidRDefault="008A7DE3" w:rsidP="008A7DE3">
    <w:pPr>
      <w:pStyle w:val="Fuzeile"/>
      <w:rPr>
        <w:rFonts w:ascii="Arial" w:hAnsi="Arial" w:cs="Arial"/>
        <w:sz w:val="18"/>
        <w:szCs w:val="18"/>
      </w:rPr>
    </w:pPr>
    <w:r>
      <w:rPr>
        <w:rFonts w:ascii="Arial" w:hAnsi="Arial" w:cs="Arial"/>
        <w:sz w:val="18"/>
        <w:szCs w:val="18"/>
      </w:rPr>
      <w:t>Stand Januar 2022</w:t>
    </w:r>
  </w:p>
  <w:p w14:paraId="66B9F966" w14:textId="77777777" w:rsidR="008A7DE3" w:rsidRPr="00DB791C" w:rsidRDefault="008A7DE3" w:rsidP="008A7DE3">
    <w:pPr>
      <w:pStyle w:val="Fuzeile"/>
      <w:rPr>
        <w:rFonts w:ascii="Arial" w:hAnsi="Arial" w:cs="Arial"/>
        <w:sz w:val="18"/>
        <w:szCs w:val="18"/>
      </w:rPr>
    </w:pPr>
  </w:p>
  <w:p w14:paraId="07A19EDE" w14:textId="77777777" w:rsidR="008A7DE3" w:rsidRPr="008A7DE3" w:rsidRDefault="008A7DE3" w:rsidP="008A7DE3">
    <w:pPr>
      <w:pStyle w:val="Fuzeile"/>
      <w:tabs>
        <w:tab w:val="clear" w:pos="9072"/>
        <w:tab w:val="right" w:pos="9498"/>
      </w:tabs>
      <w:rPr>
        <w:rFonts w:ascii="Arial" w:hAnsi="Arial" w:cs="Arial"/>
        <w:sz w:val="18"/>
        <w:szCs w:val="18"/>
      </w:rPr>
    </w:pPr>
    <w:r w:rsidRPr="00DB791C">
      <w:rPr>
        <w:rFonts w:ascii="Arial" w:hAnsi="Arial" w:cs="Arial"/>
        <w:sz w:val="18"/>
        <w:szCs w:val="18"/>
      </w:rPr>
      <w:t xml:space="preserve">© Deubner Verlag GmbH &amp; Co. KG, </w:t>
    </w:r>
    <w:hyperlink r:id="rId1" w:history="1">
      <w:r w:rsidRPr="00D40C5B">
        <w:rPr>
          <w:rStyle w:val="Hyperlink"/>
          <w:rFonts w:ascii="Arial" w:hAnsi="Arial" w:cs="Arial"/>
          <w:sz w:val="18"/>
          <w:szCs w:val="18"/>
        </w:rPr>
        <w:t>www.deubner-verlag.de</w:t>
      </w:r>
    </w:hyperlink>
    <w:r w:rsidRPr="00DB791C">
      <w:rPr>
        <w:rFonts w:ascii="Arial" w:hAnsi="Arial" w:cs="Arial"/>
        <w:sz w:val="18"/>
        <w:szCs w:val="18"/>
      </w:rPr>
      <w:tab/>
    </w:r>
    <w:r w:rsidRPr="00DB791C">
      <w:rPr>
        <w:rFonts w:ascii="Arial" w:hAnsi="Arial" w:cs="Arial"/>
        <w:sz w:val="18"/>
        <w:szCs w:val="18"/>
      </w:rPr>
      <w:fldChar w:fldCharType="begin"/>
    </w:r>
    <w:r w:rsidRPr="00DB791C">
      <w:rPr>
        <w:rFonts w:ascii="Arial" w:hAnsi="Arial" w:cs="Arial"/>
        <w:sz w:val="18"/>
        <w:szCs w:val="18"/>
      </w:rPr>
      <w:instrText>PAGE   \* MERGEFORMAT</w:instrText>
    </w:r>
    <w:r w:rsidRPr="00DB791C">
      <w:rPr>
        <w:rFonts w:ascii="Arial" w:hAnsi="Arial" w:cs="Arial"/>
        <w:sz w:val="18"/>
        <w:szCs w:val="18"/>
      </w:rPr>
      <w:fldChar w:fldCharType="separate"/>
    </w:r>
    <w:r>
      <w:rPr>
        <w:rFonts w:ascii="Arial" w:hAnsi="Arial" w:cs="Arial"/>
        <w:sz w:val="18"/>
        <w:szCs w:val="18"/>
      </w:rPr>
      <w:t>1</w:t>
    </w:r>
    <w:r w:rsidRPr="00DB791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B834" w14:textId="77777777" w:rsidR="005D6E9D" w:rsidRDefault="005D6E9D" w:rsidP="008A7DE3">
      <w:pPr>
        <w:spacing w:after="0" w:line="240" w:lineRule="auto"/>
      </w:pPr>
      <w:r>
        <w:separator/>
      </w:r>
    </w:p>
  </w:footnote>
  <w:footnote w:type="continuationSeparator" w:id="0">
    <w:p w14:paraId="601E4830" w14:textId="77777777" w:rsidR="005D6E9D" w:rsidRDefault="005D6E9D" w:rsidP="008A7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60DF"/>
    <w:multiLevelType w:val="hybridMultilevel"/>
    <w:tmpl w:val="513C0524"/>
    <w:lvl w:ilvl="0" w:tplc="2108A55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E22EAE"/>
    <w:multiLevelType w:val="hybridMultilevel"/>
    <w:tmpl w:val="76EA82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3284D95"/>
    <w:multiLevelType w:val="hybridMultilevel"/>
    <w:tmpl w:val="2842DB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8433259"/>
    <w:multiLevelType w:val="hybridMultilevel"/>
    <w:tmpl w:val="48B829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D70EBA"/>
    <w:multiLevelType w:val="hybridMultilevel"/>
    <w:tmpl w:val="789A2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56F8F"/>
    <w:multiLevelType w:val="hybridMultilevel"/>
    <w:tmpl w:val="5D7CB076"/>
    <w:lvl w:ilvl="0" w:tplc="1778DC3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759"/>
    <w:rsid w:val="000023E1"/>
    <w:rsid w:val="0006428B"/>
    <w:rsid w:val="000920D6"/>
    <w:rsid w:val="0016230A"/>
    <w:rsid w:val="0016366A"/>
    <w:rsid w:val="001E7369"/>
    <w:rsid w:val="00263ED8"/>
    <w:rsid w:val="002B7A1C"/>
    <w:rsid w:val="00375A70"/>
    <w:rsid w:val="00462DF1"/>
    <w:rsid w:val="005D6E9D"/>
    <w:rsid w:val="00691759"/>
    <w:rsid w:val="00740C0C"/>
    <w:rsid w:val="00822F42"/>
    <w:rsid w:val="008275F6"/>
    <w:rsid w:val="008278BD"/>
    <w:rsid w:val="00865880"/>
    <w:rsid w:val="00875E1D"/>
    <w:rsid w:val="008A7DE3"/>
    <w:rsid w:val="0095045D"/>
    <w:rsid w:val="00A202CF"/>
    <w:rsid w:val="00A72A96"/>
    <w:rsid w:val="00AF1435"/>
    <w:rsid w:val="00BA0103"/>
    <w:rsid w:val="00BD4878"/>
    <w:rsid w:val="00BF12C5"/>
    <w:rsid w:val="00CF4038"/>
    <w:rsid w:val="00D143DF"/>
    <w:rsid w:val="00D27095"/>
    <w:rsid w:val="00D54DF2"/>
    <w:rsid w:val="00D60716"/>
    <w:rsid w:val="00DD285A"/>
    <w:rsid w:val="00E74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B10C"/>
  <w15:docId w15:val="{169EE573-B317-49E8-84C8-582027A6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48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1759"/>
    <w:pPr>
      <w:ind w:left="720"/>
      <w:contextualSpacing/>
    </w:pPr>
  </w:style>
  <w:style w:type="paragraph" w:styleId="StandardWeb">
    <w:name w:val="Normal (Web)"/>
    <w:basedOn w:val="Standard"/>
    <w:uiPriority w:val="99"/>
    <w:semiHidden/>
    <w:unhideWhenUsed/>
    <w:rsid w:val="00375A70"/>
    <w:pPr>
      <w:spacing w:after="180" w:line="240" w:lineRule="auto"/>
      <w:textAlignment w:val="baseline"/>
    </w:pPr>
    <w:rPr>
      <w:rFonts w:ascii="Times New Roman" w:eastAsia="Times New Roman" w:hAnsi="Times New Roman" w:cs="Times New Roman"/>
      <w:sz w:val="24"/>
      <w:szCs w:val="24"/>
      <w:lang w:eastAsia="de-DE"/>
    </w:rPr>
  </w:style>
  <w:style w:type="character" w:customStyle="1" w:styleId="filenodes">
    <w:name w:val="filenodes"/>
    <w:basedOn w:val="Absatz-Standardschriftart"/>
    <w:rsid w:val="00375A70"/>
    <w:rPr>
      <w:vertAlign w:val="baseline"/>
    </w:rPr>
  </w:style>
  <w:style w:type="character" w:customStyle="1" w:styleId="dockind">
    <w:name w:val="dockind"/>
    <w:basedOn w:val="Absatz-Standardschriftart"/>
    <w:rsid w:val="00375A70"/>
    <w:rPr>
      <w:vertAlign w:val="baseline"/>
    </w:rPr>
  </w:style>
  <w:style w:type="paragraph" w:styleId="Kopfzeile">
    <w:name w:val="header"/>
    <w:basedOn w:val="Standard"/>
    <w:link w:val="KopfzeileZchn"/>
    <w:uiPriority w:val="99"/>
    <w:unhideWhenUsed/>
    <w:rsid w:val="008A7D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7DE3"/>
  </w:style>
  <w:style w:type="paragraph" w:styleId="Fuzeile">
    <w:name w:val="footer"/>
    <w:basedOn w:val="Standard"/>
    <w:link w:val="FuzeileZchn"/>
    <w:uiPriority w:val="99"/>
    <w:unhideWhenUsed/>
    <w:rsid w:val="008A7D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7DE3"/>
  </w:style>
  <w:style w:type="character" w:styleId="Hyperlink">
    <w:name w:val="Hyperlink"/>
    <w:uiPriority w:val="99"/>
    <w:unhideWhenUsed/>
    <w:rsid w:val="008A7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903770">
      <w:bodyDiv w:val="1"/>
      <w:marLeft w:val="672"/>
      <w:marRight w:val="672"/>
      <w:marTop w:val="0"/>
      <w:marBottom w:val="0"/>
      <w:divBdr>
        <w:top w:val="none" w:sz="0" w:space="0" w:color="auto"/>
        <w:left w:val="none" w:sz="0" w:space="0" w:color="auto"/>
        <w:bottom w:val="none" w:sz="0" w:space="0" w:color="auto"/>
        <w:right w:val="none" w:sz="0" w:space="0" w:color="auto"/>
      </w:divBdr>
      <w:divsChild>
        <w:div w:id="825634895">
          <w:marLeft w:val="0"/>
          <w:marRight w:val="0"/>
          <w:marTop w:val="0"/>
          <w:marBottom w:val="0"/>
          <w:divBdr>
            <w:top w:val="none" w:sz="0" w:space="0" w:color="auto"/>
            <w:left w:val="none" w:sz="0" w:space="0" w:color="auto"/>
            <w:bottom w:val="none" w:sz="0" w:space="0" w:color="auto"/>
            <w:right w:val="none" w:sz="0" w:space="0" w:color="auto"/>
          </w:divBdr>
        </w:div>
        <w:div w:id="1755204929">
          <w:marLeft w:val="0"/>
          <w:marRight w:val="0"/>
          <w:marTop w:val="0"/>
          <w:marBottom w:val="0"/>
          <w:divBdr>
            <w:top w:val="none" w:sz="0" w:space="0" w:color="auto"/>
            <w:left w:val="none" w:sz="0" w:space="0" w:color="auto"/>
            <w:bottom w:val="none" w:sz="0" w:space="0" w:color="auto"/>
            <w:right w:val="none" w:sz="0" w:space="0" w:color="auto"/>
          </w:divBdr>
        </w:div>
      </w:divsChild>
    </w:div>
    <w:div w:id="1511484093">
      <w:bodyDiv w:val="1"/>
      <w:marLeft w:val="672"/>
      <w:marRight w:val="672"/>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ubner-verla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918a68c0-b1d2-4b56-8869-8361e548da4d</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8EA1-8138-49C5-80F5-9165B017F6DF}">
  <ds:schemaRefs>
    <ds:schemaRef ds:uri="http://www.datev.de/BSOffice/999929"/>
  </ds:schemaRefs>
</ds:datastoreItem>
</file>

<file path=customXml/itemProps2.xml><?xml version="1.0" encoding="utf-8"?>
<ds:datastoreItem xmlns:ds="http://schemas.openxmlformats.org/officeDocument/2006/customXml" ds:itemID="{DF490E4E-3E40-46A3-8945-03319A50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9415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WEKA MEDIA GmbH &amp; Co. KG</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191319</vt:lpwstr>
  </property>
  <property fmtid="{D5CDD505-2E9C-101B-9397-08002B2CF9AE}" pid="3" name="DATEV-DMS_BETREFF">
    <vt:lpwstr>AP 2017 Betriebsausgabenabzug für Luxusfahrzeuge -betriebliche Kfz-Nutzung</vt:lpwstr>
  </property>
  <property fmtid="{D5CDD505-2E9C-101B-9397-08002B2CF9AE}" pid="4" name="DATEV-DMS_MANDANT_NR">
    <vt:lpwstr>22690</vt:lpwstr>
  </property>
  <property fmtid="{D5CDD505-2E9C-101B-9397-08002B2CF9AE}" pid="5" name="DATEV-DMS_MANDANT_BEZ">
    <vt:lpwstr>EASTEC GmbH Großflächenstahlv.</vt:lpwstr>
  </property>
</Properties>
</file>