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DF76" w14:textId="70EE8A51" w:rsidR="00A640AD" w:rsidRDefault="00FB0430" w:rsidP="00515F7B">
      <w:pPr>
        <w:pStyle w:val="MITitel"/>
      </w:pPr>
      <w:r w:rsidRPr="00FB0430">
        <w:t>Welche Besond</w:t>
      </w:r>
      <w:r w:rsidR="005A25CA">
        <w:t>e</w:t>
      </w:r>
      <w:r w:rsidRPr="00FB0430">
        <w:t>rheiten müssen Sie bei einer elektronischen Buchführung unbedingt beachten?</w:t>
      </w:r>
    </w:p>
    <w:p w14:paraId="73116005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7C9D9BD2" w14:textId="18894E50" w:rsidR="00FB0430" w:rsidRPr="00FB0430" w:rsidRDefault="00FB0430" w:rsidP="00FB0430">
      <w:pPr>
        <w:pStyle w:val="MIFlietext"/>
        <w:rPr>
          <w:sz w:val="20"/>
          <w:szCs w:val="20"/>
        </w:rPr>
      </w:pPr>
      <w:r w:rsidRPr="00FB0430">
        <w:rPr>
          <w:sz w:val="20"/>
          <w:szCs w:val="20"/>
        </w:rPr>
        <w:t xml:space="preserve">die Digitalisierung macht auch vor dem betrieblichen Rechnungswesen </w:t>
      </w:r>
      <w:r w:rsidR="005A25CA">
        <w:rPr>
          <w:sz w:val="20"/>
          <w:szCs w:val="20"/>
        </w:rPr>
        <w:t>nicht</w:t>
      </w:r>
      <w:r w:rsidRPr="00FB0430">
        <w:rPr>
          <w:sz w:val="20"/>
          <w:szCs w:val="20"/>
        </w:rPr>
        <w:t xml:space="preserve"> </w:t>
      </w:r>
      <w:r w:rsidR="0023408E">
        <w:rPr>
          <w:sz w:val="20"/>
          <w:szCs w:val="20"/>
        </w:rPr>
        <w:t>H</w:t>
      </w:r>
      <w:r w:rsidRPr="00FB0430">
        <w:rPr>
          <w:sz w:val="20"/>
          <w:szCs w:val="20"/>
        </w:rPr>
        <w:t xml:space="preserve">alt. </w:t>
      </w:r>
      <w:r w:rsidR="0023408E">
        <w:rPr>
          <w:sz w:val="20"/>
          <w:szCs w:val="20"/>
        </w:rPr>
        <w:t>Für die</w:t>
      </w:r>
      <w:r w:rsidRPr="00FB0430">
        <w:rPr>
          <w:sz w:val="20"/>
          <w:szCs w:val="20"/>
        </w:rPr>
        <w:t xml:space="preserve"> </w:t>
      </w:r>
      <w:r w:rsidR="0023408E">
        <w:rPr>
          <w:sz w:val="20"/>
          <w:szCs w:val="20"/>
        </w:rPr>
        <w:t xml:space="preserve">gar </w:t>
      </w:r>
      <w:r w:rsidRPr="00FB0430">
        <w:rPr>
          <w:sz w:val="20"/>
          <w:szCs w:val="20"/>
        </w:rPr>
        <w:t xml:space="preserve">nicht so ferne </w:t>
      </w:r>
      <w:r w:rsidR="0023408E">
        <w:rPr>
          <w:sz w:val="20"/>
          <w:szCs w:val="20"/>
        </w:rPr>
        <w:t>Zukunft wird</w:t>
      </w:r>
      <w:r w:rsidR="0096059C">
        <w:rPr>
          <w:sz w:val="20"/>
          <w:szCs w:val="20"/>
        </w:rPr>
        <w:t xml:space="preserve"> </w:t>
      </w:r>
      <w:r w:rsidRPr="00FB0430">
        <w:rPr>
          <w:sz w:val="20"/>
          <w:szCs w:val="20"/>
        </w:rPr>
        <w:t>die vollautomatisierte Buchführung</w:t>
      </w:r>
      <w:r w:rsidR="00CC144A">
        <w:rPr>
          <w:sz w:val="20"/>
          <w:szCs w:val="20"/>
        </w:rPr>
        <w:t xml:space="preserve"> mit Hilfe von künstlicher Intelligenz</w:t>
      </w:r>
      <w:r w:rsidR="0023408E">
        <w:rPr>
          <w:sz w:val="20"/>
          <w:szCs w:val="20"/>
        </w:rPr>
        <w:t xml:space="preserve"> prognostiziert</w:t>
      </w:r>
      <w:r w:rsidR="005A25CA">
        <w:rPr>
          <w:sz w:val="20"/>
          <w:szCs w:val="20"/>
        </w:rPr>
        <w:t xml:space="preserve">, wobei schon seit </w:t>
      </w:r>
      <w:r w:rsidR="00CC144A">
        <w:rPr>
          <w:sz w:val="20"/>
          <w:szCs w:val="20"/>
        </w:rPr>
        <w:t>mehr als</w:t>
      </w:r>
      <w:r w:rsidR="005A25CA">
        <w:rPr>
          <w:sz w:val="20"/>
          <w:szCs w:val="20"/>
        </w:rPr>
        <w:t xml:space="preserve"> 25 Jahren </w:t>
      </w:r>
      <w:r w:rsidR="0023408E" w:rsidRPr="0023408E">
        <w:rPr>
          <w:sz w:val="20"/>
          <w:szCs w:val="20"/>
        </w:rPr>
        <w:t>die meisten Buchführungen</w:t>
      </w:r>
      <w:r w:rsidRPr="00FB0430">
        <w:rPr>
          <w:sz w:val="20"/>
          <w:szCs w:val="20"/>
        </w:rPr>
        <w:t xml:space="preserve"> mit Hilfe von EDV-Programmen erledigt</w:t>
      </w:r>
      <w:r w:rsidR="005A25CA">
        <w:rPr>
          <w:sz w:val="20"/>
          <w:szCs w:val="20"/>
        </w:rPr>
        <w:t xml:space="preserve"> werden.</w:t>
      </w:r>
      <w:r w:rsidRPr="00FB0430">
        <w:rPr>
          <w:sz w:val="20"/>
          <w:szCs w:val="20"/>
        </w:rPr>
        <w:t xml:space="preserve"> </w:t>
      </w:r>
      <w:r w:rsidR="005A25CA">
        <w:rPr>
          <w:sz w:val="20"/>
          <w:szCs w:val="20"/>
        </w:rPr>
        <w:t>Seit 2015 müssen Sie d</w:t>
      </w:r>
      <w:r w:rsidRPr="00FB0430">
        <w:rPr>
          <w:sz w:val="20"/>
          <w:szCs w:val="20"/>
        </w:rPr>
        <w:t xml:space="preserve">ie </w:t>
      </w:r>
      <w:r w:rsidR="0023408E">
        <w:rPr>
          <w:sz w:val="20"/>
          <w:szCs w:val="20"/>
        </w:rPr>
        <w:t>„</w:t>
      </w:r>
      <w:r w:rsidRPr="00FB0430">
        <w:rPr>
          <w:sz w:val="20"/>
          <w:szCs w:val="20"/>
        </w:rPr>
        <w:t>Grundsätze zur ordnungsmäßigen Führung und Aufbewahrung von Büchern, Aufzeichnungen und Unterlagen in elektronischer Form sowie zum Datenzugriff</w:t>
      </w:r>
      <w:r w:rsidR="0023408E">
        <w:rPr>
          <w:sz w:val="20"/>
          <w:szCs w:val="20"/>
        </w:rPr>
        <w:t>“</w:t>
      </w:r>
      <w:r w:rsidRPr="00FB0430">
        <w:rPr>
          <w:sz w:val="20"/>
          <w:szCs w:val="20"/>
        </w:rPr>
        <w:t xml:space="preserve"> (</w:t>
      </w:r>
      <w:r w:rsidR="0023408E">
        <w:rPr>
          <w:sz w:val="20"/>
          <w:szCs w:val="20"/>
        </w:rPr>
        <w:t xml:space="preserve">kurz: </w:t>
      </w:r>
      <w:r w:rsidRPr="00FB0430">
        <w:rPr>
          <w:sz w:val="20"/>
          <w:szCs w:val="20"/>
        </w:rPr>
        <w:t xml:space="preserve">GoBD) </w:t>
      </w:r>
      <w:r w:rsidR="0096059C">
        <w:rPr>
          <w:sz w:val="20"/>
          <w:szCs w:val="20"/>
        </w:rPr>
        <w:t>in Ihrem Unternehmen umsetzen</w:t>
      </w:r>
      <w:r w:rsidRPr="00FB0430">
        <w:rPr>
          <w:sz w:val="20"/>
          <w:szCs w:val="20"/>
        </w:rPr>
        <w:t>.</w:t>
      </w:r>
    </w:p>
    <w:p w14:paraId="456FB8CE" w14:textId="245DB0C5" w:rsidR="00515F7B" w:rsidRPr="001165EB" w:rsidRDefault="00FB0430" w:rsidP="00FB0430">
      <w:pPr>
        <w:pStyle w:val="MIFlietext"/>
        <w:rPr>
          <w:sz w:val="20"/>
          <w:szCs w:val="20"/>
        </w:rPr>
      </w:pPr>
      <w:r w:rsidRPr="00FB0430">
        <w:rPr>
          <w:sz w:val="20"/>
          <w:szCs w:val="20"/>
        </w:rPr>
        <w:t xml:space="preserve">Die GoBD gelten nicht nur für </w:t>
      </w:r>
      <w:r w:rsidR="0096059C">
        <w:rPr>
          <w:sz w:val="20"/>
          <w:szCs w:val="20"/>
        </w:rPr>
        <w:t>Ihre</w:t>
      </w:r>
      <w:r w:rsidRPr="00FB0430">
        <w:rPr>
          <w:sz w:val="20"/>
          <w:szCs w:val="20"/>
        </w:rPr>
        <w:t xml:space="preserve"> Buchhaltungssoftware, sondern auch für sog. Vor- und Nebensysteme wie z.B. elektronische Waagen oder Warenwirtschaftssysteme, die relevante Daten für die Buchführung liefern</w:t>
      </w:r>
      <w:r w:rsidR="00F64039">
        <w:rPr>
          <w:sz w:val="20"/>
          <w:szCs w:val="20"/>
        </w:rPr>
        <w:t xml:space="preserve">. </w:t>
      </w:r>
      <w:r w:rsidR="005A25CA">
        <w:rPr>
          <w:sz w:val="20"/>
          <w:szCs w:val="20"/>
        </w:rPr>
        <w:t>Zusätzlich müssen Sie</w:t>
      </w:r>
      <w:r w:rsidRPr="00FB0430">
        <w:rPr>
          <w:sz w:val="20"/>
          <w:szCs w:val="20"/>
        </w:rPr>
        <w:t xml:space="preserve"> eine Verfahrensdokumentation führen, aus der Inhalt, Aufbau und Ablauf der eingesetzten EDV-Verfahren klar hervorgehen.</w:t>
      </w:r>
      <w:r w:rsidR="003B29E3">
        <w:rPr>
          <w:sz w:val="20"/>
          <w:szCs w:val="20"/>
        </w:rPr>
        <w:t xml:space="preserve"> Die GoBD enthalten außerdem Regeln zur Umwandlung von Papierbelegen in elektronische Belege im Rahmen eines papierlos geführten Büros. 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41E99336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6A1197DE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17345ECA" wp14:editId="4F253962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3FFC021B" w14:textId="77777777" w:rsidR="00515F7B" w:rsidRPr="001165EB" w:rsidRDefault="0096059C" w:rsidP="0096059C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="00FB0430" w:rsidRPr="00FB0430">
              <w:rPr>
                <w:sz w:val="20"/>
                <w:szCs w:val="20"/>
              </w:rPr>
              <w:t xml:space="preserve"> der </w:t>
            </w:r>
            <w:r w:rsidR="00FB0430" w:rsidRPr="0096059C">
              <w:rPr>
                <w:b/>
                <w:sz w:val="20"/>
                <w:szCs w:val="20"/>
              </w:rPr>
              <w:t>Infografik auf der nächsten Seite</w:t>
            </w:r>
            <w:r w:rsidR="00FB0430" w:rsidRPr="00FB0430">
              <w:rPr>
                <w:sz w:val="20"/>
                <w:szCs w:val="20"/>
              </w:rPr>
              <w:t xml:space="preserve"> bekommen Sie einen </w:t>
            </w:r>
            <w:r>
              <w:rPr>
                <w:sz w:val="20"/>
                <w:szCs w:val="20"/>
              </w:rPr>
              <w:t xml:space="preserve">groben </w:t>
            </w:r>
            <w:r w:rsidR="00FB0430" w:rsidRPr="00FB0430">
              <w:rPr>
                <w:sz w:val="20"/>
                <w:szCs w:val="20"/>
              </w:rPr>
              <w:t>Überblick über die wichtigsten und für Ihr Unternehmen relevanten G</w:t>
            </w:r>
            <w:r>
              <w:rPr>
                <w:sz w:val="20"/>
                <w:szCs w:val="20"/>
              </w:rPr>
              <w:t>rundsätze</w:t>
            </w:r>
            <w:r w:rsidR="00FB0430" w:rsidRPr="00FB0430">
              <w:rPr>
                <w:sz w:val="20"/>
                <w:szCs w:val="20"/>
              </w:rPr>
              <w:t xml:space="preserve">. Für </w:t>
            </w:r>
            <w:r>
              <w:rPr>
                <w:sz w:val="20"/>
                <w:szCs w:val="20"/>
              </w:rPr>
              <w:t>tiefer</w:t>
            </w:r>
            <w:r w:rsidR="00D13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gehende F</w:t>
            </w:r>
            <w:r w:rsidR="00FB0430" w:rsidRPr="00FB0430">
              <w:rPr>
                <w:sz w:val="20"/>
                <w:szCs w:val="20"/>
              </w:rPr>
              <w:t xml:space="preserve">ragen stehen wir </w:t>
            </w:r>
            <w:r>
              <w:rPr>
                <w:sz w:val="20"/>
                <w:szCs w:val="20"/>
              </w:rPr>
              <w:t xml:space="preserve">Ihnen </w:t>
            </w:r>
            <w:r w:rsidR="00FB0430" w:rsidRPr="00FB0430">
              <w:rPr>
                <w:sz w:val="20"/>
                <w:szCs w:val="20"/>
              </w:rPr>
              <w:t xml:space="preserve">gerne </w:t>
            </w:r>
            <w:r>
              <w:rPr>
                <w:sz w:val="20"/>
                <w:szCs w:val="20"/>
              </w:rPr>
              <w:t xml:space="preserve">persönlich </w:t>
            </w:r>
            <w:r w:rsidR="00FB0430" w:rsidRPr="00FB0430">
              <w:rPr>
                <w:sz w:val="20"/>
                <w:szCs w:val="20"/>
              </w:rPr>
              <w:t>zur Verfügung.</w:t>
            </w:r>
          </w:p>
        </w:tc>
      </w:tr>
    </w:tbl>
    <w:p w14:paraId="38C14A72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6A51CA5C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5ECD082E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7ABFC7F7" w14:textId="77777777" w:rsidR="00C845F3" w:rsidRDefault="00C845F3" w:rsidP="00C845F3">
      <w:r>
        <w:br w:type="page"/>
      </w:r>
    </w:p>
    <w:p w14:paraId="2A674738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5723E5D1" w14:textId="058818CF" w:rsidR="00C845F3" w:rsidRDefault="00E978D4">
      <w:r>
        <w:rPr>
          <w:noProof/>
        </w:rPr>
        <w:lastRenderedPageBreak/>
        <w:drawing>
          <wp:inline distT="0" distB="0" distL="0" distR="0" wp14:anchorId="28D20164" wp14:editId="512C7133">
            <wp:extent cx="6616700" cy="9169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1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B83B" w14:textId="77777777" w:rsidR="00D35270" w:rsidRDefault="00D35270" w:rsidP="00574430">
      <w:pPr>
        <w:spacing w:after="0" w:line="240" w:lineRule="auto"/>
      </w:pPr>
      <w:r>
        <w:separator/>
      </w:r>
    </w:p>
  </w:endnote>
  <w:endnote w:type="continuationSeparator" w:id="0">
    <w:p w14:paraId="67F5C664" w14:textId="77777777" w:rsidR="00D35270" w:rsidRDefault="00D35270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9DAD" w14:textId="77777777" w:rsidR="00D35270" w:rsidRDefault="00D35270" w:rsidP="00574430">
      <w:pPr>
        <w:spacing w:after="0" w:line="240" w:lineRule="auto"/>
      </w:pPr>
      <w:r>
        <w:separator/>
      </w:r>
    </w:p>
  </w:footnote>
  <w:footnote w:type="continuationSeparator" w:id="0">
    <w:p w14:paraId="58539B8E" w14:textId="77777777" w:rsidR="00D35270" w:rsidRDefault="00D35270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23408E"/>
    <w:rsid w:val="00260FBF"/>
    <w:rsid w:val="0026576F"/>
    <w:rsid w:val="002926BF"/>
    <w:rsid w:val="0033246C"/>
    <w:rsid w:val="003B29E3"/>
    <w:rsid w:val="00515F7B"/>
    <w:rsid w:val="00574430"/>
    <w:rsid w:val="005A25CA"/>
    <w:rsid w:val="005A56CA"/>
    <w:rsid w:val="00611B48"/>
    <w:rsid w:val="00632FD5"/>
    <w:rsid w:val="00675A15"/>
    <w:rsid w:val="006B32AC"/>
    <w:rsid w:val="007D710B"/>
    <w:rsid w:val="0096059C"/>
    <w:rsid w:val="009A4466"/>
    <w:rsid w:val="009D135D"/>
    <w:rsid w:val="00A640AD"/>
    <w:rsid w:val="00A84DE7"/>
    <w:rsid w:val="00AB331E"/>
    <w:rsid w:val="00BC66CC"/>
    <w:rsid w:val="00C845F3"/>
    <w:rsid w:val="00CC144A"/>
    <w:rsid w:val="00CE780C"/>
    <w:rsid w:val="00D134DA"/>
    <w:rsid w:val="00D35270"/>
    <w:rsid w:val="00E10787"/>
    <w:rsid w:val="00E978D4"/>
    <w:rsid w:val="00EA270F"/>
    <w:rsid w:val="00F64039"/>
    <w:rsid w:val="00F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9C26E5"/>
  <w15:docId w15:val="{377266E7-3F17-4DC5-9418-2A3C8EB5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5EEC-D496-4CD6-89C0-367DCDC9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19_GoBD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19_GoBD</dc:title>
  <dc:creator>Deubner Verlag GmbH &amp; Co. KG</dc:creator>
  <cp:lastModifiedBy>Michaelsen, Eleonora</cp:lastModifiedBy>
  <cp:revision>4</cp:revision>
  <dcterms:created xsi:type="dcterms:W3CDTF">2021-11-22T14:57:00Z</dcterms:created>
  <dcterms:modified xsi:type="dcterms:W3CDTF">2024-04-24T09:14:00Z</dcterms:modified>
</cp:coreProperties>
</file>