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CB5B" w14:textId="77777777" w:rsidR="00A640AD" w:rsidRDefault="00804E44" w:rsidP="00515F7B">
      <w:pPr>
        <w:pStyle w:val="MITitel"/>
      </w:pPr>
      <w:r w:rsidRPr="00804E44">
        <w:t>Wie wenden Sie als Arbeitgeber die steuerlichen Regeln für Betriebsveranstaltungen richtig an?</w:t>
      </w:r>
    </w:p>
    <w:p w14:paraId="5E4424AB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773FA051" w14:textId="77777777" w:rsidR="00804E44" w:rsidRPr="00804E44" w:rsidRDefault="00804E44" w:rsidP="00804E44">
      <w:pPr>
        <w:pStyle w:val="MIFlietext"/>
        <w:rPr>
          <w:sz w:val="20"/>
          <w:szCs w:val="20"/>
        </w:rPr>
      </w:pPr>
      <w:r w:rsidRPr="00804E44">
        <w:rPr>
          <w:sz w:val="20"/>
          <w:szCs w:val="20"/>
        </w:rPr>
        <w:t>in deutschen Unternehmen wird gerne gefeiert</w:t>
      </w:r>
      <w:r w:rsidR="004E3BDE">
        <w:rPr>
          <w:sz w:val="20"/>
          <w:szCs w:val="20"/>
        </w:rPr>
        <w:t>:</w:t>
      </w:r>
      <w:r w:rsidRPr="00804E44">
        <w:rPr>
          <w:sz w:val="20"/>
          <w:szCs w:val="20"/>
        </w:rPr>
        <w:t xml:space="preserve"> Weihnachtsfeiern, Sommerfeste </w:t>
      </w:r>
      <w:r w:rsidR="004E3BDE">
        <w:rPr>
          <w:sz w:val="20"/>
          <w:szCs w:val="20"/>
        </w:rPr>
        <w:t>und</w:t>
      </w:r>
      <w:r w:rsidRPr="00804E44">
        <w:rPr>
          <w:sz w:val="20"/>
          <w:szCs w:val="20"/>
        </w:rPr>
        <w:t xml:space="preserve"> Jubiläen sind willkommene Anlässe, </w:t>
      </w:r>
      <w:r w:rsidR="00724D75">
        <w:rPr>
          <w:sz w:val="20"/>
          <w:szCs w:val="20"/>
        </w:rPr>
        <w:t>einander</w:t>
      </w:r>
      <w:r w:rsidRPr="00804E44">
        <w:rPr>
          <w:sz w:val="20"/>
          <w:szCs w:val="20"/>
        </w:rPr>
        <w:t xml:space="preserve"> </w:t>
      </w:r>
      <w:r w:rsidR="004E3BDE">
        <w:rPr>
          <w:sz w:val="20"/>
          <w:szCs w:val="20"/>
        </w:rPr>
        <w:t xml:space="preserve">auch </w:t>
      </w:r>
      <w:r w:rsidRPr="00804E44">
        <w:rPr>
          <w:sz w:val="20"/>
          <w:szCs w:val="20"/>
        </w:rPr>
        <w:t xml:space="preserve">einmal zwanglos und abseits des stressigen Arbeitsalltags zu begegnen. Für Sie als </w:t>
      </w:r>
      <w:r w:rsidR="004E3BDE">
        <w:rPr>
          <w:sz w:val="20"/>
          <w:szCs w:val="20"/>
        </w:rPr>
        <w:t>Arbeitgeber</w:t>
      </w:r>
      <w:r w:rsidRPr="00804E44">
        <w:rPr>
          <w:sz w:val="20"/>
          <w:szCs w:val="20"/>
        </w:rPr>
        <w:t xml:space="preserve"> sind Betriebsveranstaltungen außerdem eine </w:t>
      </w:r>
      <w:r w:rsidR="004E3BDE">
        <w:rPr>
          <w:sz w:val="20"/>
          <w:szCs w:val="20"/>
        </w:rPr>
        <w:t xml:space="preserve">gute </w:t>
      </w:r>
      <w:r w:rsidRPr="00804E44">
        <w:rPr>
          <w:sz w:val="20"/>
          <w:szCs w:val="20"/>
        </w:rPr>
        <w:t>Möglichkeit, den Mitarbeitern</w:t>
      </w:r>
      <w:r w:rsidR="00FB178A">
        <w:rPr>
          <w:sz w:val="20"/>
          <w:szCs w:val="20"/>
        </w:rPr>
        <w:t xml:space="preserve"> gegenüber</w:t>
      </w:r>
      <w:r w:rsidRPr="00804E44">
        <w:rPr>
          <w:sz w:val="20"/>
          <w:szCs w:val="20"/>
        </w:rPr>
        <w:t xml:space="preserve"> Ihre Wertschätzung auszudrücken</w:t>
      </w:r>
      <w:r w:rsidR="004E3BDE">
        <w:rPr>
          <w:sz w:val="20"/>
          <w:szCs w:val="20"/>
        </w:rPr>
        <w:t xml:space="preserve"> </w:t>
      </w:r>
      <w:r w:rsidRPr="00804E44">
        <w:rPr>
          <w:sz w:val="20"/>
          <w:szCs w:val="20"/>
        </w:rPr>
        <w:t xml:space="preserve">und den Teamgeist </w:t>
      </w:r>
      <w:r w:rsidR="004E3BDE">
        <w:rPr>
          <w:sz w:val="20"/>
          <w:szCs w:val="20"/>
        </w:rPr>
        <w:t>zu fördern</w:t>
      </w:r>
      <w:r w:rsidRPr="00804E44">
        <w:rPr>
          <w:sz w:val="20"/>
          <w:szCs w:val="20"/>
        </w:rPr>
        <w:t>.</w:t>
      </w:r>
    </w:p>
    <w:p w14:paraId="5EF6285A" w14:textId="77777777" w:rsidR="00515F7B" w:rsidRPr="001165EB" w:rsidRDefault="004E3BDE" w:rsidP="00804E44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Auch der Staat fördert betriebliche</w:t>
      </w:r>
      <w:r w:rsidR="00804E44" w:rsidRPr="00804E44">
        <w:rPr>
          <w:sz w:val="20"/>
          <w:szCs w:val="20"/>
        </w:rPr>
        <w:t xml:space="preserve"> Feiern</w:t>
      </w:r>
      <w:r>
        <w:rPr>
          <w:sz w:val="20"/>
          <w:szCs w:val="20"/>
        </w:rPr>
        <w:t>.</w:t>
      </w:r>
      <w:r w:rsidR="00804E44" w:rsidRPr="00804E44">
        <w:rPr>
          <w:sz w:val="20"/>
          <w:szCs w:val="20"/>
        </w:rPr>
        <w:t xml:space="preserve"> Werden bestimmte Regeln beachtet, können sämtliche Kosten </w:t>
      </w:r>
      <w:r w:rsidR="00FB178A">
        <w:rPr>
          <w:sz w:val="20"/>
          <w:szCs w:val="20"/>
        </w:rPr>
        <w:t>der V</w:t>
      </w:r>
      <w:r w:rsidR="00804E44" w:rsidRPr="00804E44">
        <w:rPr>
          <w:sz w:val="20"/>
          <w:szCs w:val="20"/>
        </w:rPr>
        <w:t>eranstaltung</w:t>
      </w:r>
      <w:r w:rsidR="00FB178A">
        <w:rPr>
          <w:sz w:val="20"/>
          <w:szCs w:val="20"/>
        </w:rPr>
        <w:t>en</w:t>
      </w:r>
      <w:r w:rsidR="00804E44" w:rsidRPr="00804E44">
        <w:rPr>
          <w:sz w:val="20"/>
          <w:szCs w:val="20"/>
        </w:rPr>
        <w:t xml:space="preserve"> als </w:t>
      </w:r>
      <w:r>
        <w:rPr>
          <w:sz w:val="20"/>
          <w:szCs w:val="20"/>
        </w:rPr>
        <w:t>Betriebsausgaben</w:t>
      </w:r>
      <w:r w:rsidR="00804E44" w:rsidRPr="00804E44">
        <w:rPr>
          <w:sz w:val="20"/>
          <w:szCs w:val="20"/>
        </w:rPr>
        <w:t xml:space="preserve"> abgezogen werden. Ma</w:t>
      </w:r>
      <w:r>
        <w:rPr>
          <w:sz w:val="20"/>
          <w:szCs w:val="20"/>
        </w:rPr>
        <w:t>n könnte sagen: Sie feiern und</w:t>
      </w:r>
      <w:r w:rsidR="00804E44" w:rsidRPr="00804E44">
        <w:rPr>
          <w:sz w:val="20"/>
          <w:szCs w:val="20"/>
        </w:rPr>
        <w:t xml:space="preserve"> das Finanzamt zahlt.</w:t>
      </w:r>
      <w:r>
        <w:rPr>
          <w:sz w:val="20"/>
          <w:szCs w:val="20"/>
        </w:rPr>
        <w:t xml:space="preserve"> </w:t>
      </w:r>
      <w:r w:rsidR="00804E44" w:rsidRPr="00804E44">
        <w:rPr>
          <w:sz w:val="20"/>
          <w:szCs w:val="20"/>
        </w:rPr>
        <w:t>Wie jede steuerliche Vergünstigung haben aber auch diese Regeln ihre Tücken. So gilt lediglich ein Freibetrag von 110</w:t>
      </w:r>
      <w:r w:rsidR="00724D75">
        <w:rPr>
          <w:sz w:val="20"/>
          <w:szCs w:val="20"/>
        </w:rPr>
        <w:t> </w:t>
      </w:r>
      <w:r w:rsidR="00804E44" w:rsidRPr="00804E44">
        <w:rPr>
          <w:sz w:val="20"/>
          <w:szCs w:val="20"/>
        </w:rPr>
        <w:t>€ pro Arbeitnehmer und Veranstaltung</w:t>
      </w:r>
      <w:r w:rsidR="00724D75">
        <w:rPr>
          <w:sz w:val="20"/>
          <w:szCs w:val="20"/>
        </w:rPr>
        <w:t>, außerdem kann</w:t>
      </w:r>
      <w:r w:rsidR="00804E44" w:rsidRPr="00804E44">
        <w:rPr>
          <w:sz w:val="20"/>
          <w:szCs w:val="20"/>
        </w:rPr>
        <w:t xml:space="preserve"> nur der Aufwand für zwei Veranstal</w:t>
      </w:r>
      <w:r w:rsidR="00724D75">
        <w:rPr>
          <w:sz w:val="20"/>
          <w:szCs w:val="20"/>
        </w:rPr>
        <w:t xml:space="preserve">tungen im Jahr </w:t>
      </w:r>
      <w:r w:rsidR="00804E44" w:rsidRPr="00804E44">
        <w:rPr>
          <w:sz w:val="20"/>
          <w:szCs w:val="20"/>
        </w:rPr>
        <w:t xml:space="preserve">steuerlich geltend gemacht werden. </w:t>
      </w:r>
      <w:r w:rsidR="00724D75">
        <w:rPr>
          <w:sz w:val="20"/>
          <w:szCs w:val="20"/>
        </w:rPr>
        <w:t>F</w:t>
      </w:r>
      <w:r w:rsidR="00804E44" w:rsidRPr="00804E44">
        <w:rPr>
          <w:sz w:val="20"/>
          <w:szCs w:val="20"/>
        </w:rPr>
        <w:t xml:space="preserve">ür die Ermittlung der Kosten gibt es </w:t>
      </w:r>
      <w:r w:rsidR="00724D75">
        <w:rPr>
          <w:sz w:val="20"/>
          <w:szCs w:val="20"/>
        </w:rPr>
        <w:t xml:space="preserve">ebenfalls </w:t>
      </w:r>
      <w:r w:rsidR="00804E44" w:rsidRPr="00804E44">
        <w:rPr>
          <w:sz w:val="20"/>
          <w:szCs w:val="20"/>
        </w:rPr>
        <w:t>klare Regelungen.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617"/>
      </w:tblGrid>
      <w:tr w:rsidR="00515F7B" w:rsidRPr="001165EB" w14:paraId="1D49B5D5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2476F850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09EA5564" wp14:editId="7DDAA58E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0320D2F5" w14:textId="77777777" w:rsidR="00515F7B" w:rsidRPr="001165EB" w:rsidRDefault="00724D75" w:rsidP="00724D7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Unsere</w:t>
            </w:r>
            <w:r w:rsidR="00804E44" w:rsidRPr="00804E44">
              <w:rPr>
                <w:sz w:val="20"/>
                <w:szCs w:val="20"/>
              </w:rPr>
              <w:t xml:space="preserve"> </w:t>
            </w:r>
            <w:r w:rsidR="00804E44" w:rsidRPr="00724D75">
              <w:rPr>
                <w:b/>
                <w:sz w:val="20"/>
                <w:szCs w:val="20"/>
              </w:rPr>
              <w:t>Infografik auf der nächsten Seite</w:t>
            </w:r>
            <w:r w:rsidR="00804E44" w:rsidRPr="00804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bietet</w:t>
            </w:r>
            <w:r w:rsidR="00804E44" w:rsidRPr="00804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Ihnen</w:t>
            </w:r>
            <w:r w:rsidR="00804E44" w:rsidRPr="00804E44">
              <w:rPr>
                <w:sz w:val="20"/>
                <w:szCs w:val="20"/>
              </w:rPr>
              <w:t xml:space="preserve"> einen Überblick darüber, was Sie bei Betriebsveranstaltungen beachten müssen, damit es kein Fest für das Finanzamt wird. Wir wünschen frohes Feiern und stehen für Rückfragen gerne zur Verfügung.</w:t>
            </w:r>
          </w:p>
        </w:tc>
      </w:tr>
    </w:tbl>
    <w:p w14:paraId="2FD16208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0EAA997C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41CEF5F3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3BBE4531" w14:textId="77777777" w:rsidR="00C845F3" w:rsidRDefault="00C845F3" w:rsidP="00C845F3">
      <w:r>
        <w:br w:type="page"/>
      </w:r>
    </w:p>
    <w:p w14:paraId="0D714172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CE86152" w14:textId="3868B772" w:rsidR="00C845F3" w:rsidRDefault="00845BAA">
      <w:r>
        <w:rPr>
          <w:noProof/>
        </w:rPr>
        <w:lastRenderedPageBreak/>
        <w:drawing>
          <wp:inline distT="0" distB="0" distL="0" distR="0" wp14:anchorId="2452592C" wp14:editId="09BD64A3">
            <wp:extent cx="6624320" cy="9175750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9FEFD" w14:textId="77777777" w:rsidR="00574430" w:rsidRDefault="00574430" w:rsidP="00574430">
      <w:pPr>
        <w:spacing w:after="0" w:line="240" w:lineRule="auto"/>
      </w:pPr>
      <w:r>
        <w:separator/>
      </w:r>
    </w:p>
  </w:endnote>
  <w:endnote w:type="continuationSeparator" w:id="0">
    <w:p w14:paraId="1F55AFC4" w14:textId="77777777" w:rsidR="00574430" w:rsidRDefault="00574430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2A7AA" w14:textId="77777777" w:rsidR="00574430" w:rsidRDefault="00574430" w:rsidP="00574430">
      <w:pPr>
        <w:spacing w:after="0" w:line="240" w:lineRule="auto"/>
      </w:pPr>
      <w:r>
        <w:separator/>
      </w:r>
    </w:p>
  </w:footnote>
  <w:footnote w:type="continuationSeparator" w:id="0">
    <w:p w14:paraId="77020100" w14:textId="77777777" w:rsidR="00574430" w:rsidRDefault="00574430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191BB4"/>
    <w:rsid w:val="0033246C"/>
    <w:rsid w:val="004E3BDE"/>
    <w:rsid w:val="00515F7B"/>
    <w:rsid w:val="00574430"/>
    <w:rsid w:val="005A56CA"/>
    <w:rsid w:val="00724D75"/>
    <w:rsid w:val="007D710B"/>
    <w:rsid w:val="0080319D"/>
    <w:rsid w:val="00804E44"/>
    <w:rsid w:val="00845BAA"/>
    <w:rsid w:val="008F1815"/>
    <w:rsid w:val="00960CCA"/>
    <w:rsid w:val="009C6F04"/>
    <w:rsid w:val="00A640AD"/>
    <w:rsid w:val="00AB331E"/>
    <w:rsid w:val="00C845F3"/>
    <w:rsid w:val="00D35FB6"/>
    <w:rsid w:val="00E10787"/>
    <w:rsid w:val="00EC64DA"/>
    <w:rsid w:val="00F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4039E5"/>
  <w15:docId w15:val="{9E4B51A5-57B8-411F-A418-BD478DAB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28_Betriebsveranstaltungen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28_Betriebsveranstaltungen</dc:title>
  <dc:creator>Deubner Verlag GmbH &amp; Co. KG</dc:creator>
  <cp:lastModifiedBy>Michaelsen, Eleonora</cp:lastModifiedBy>
  <cp:revision>14</cp:revision>
  <dcterms:created xsi:type="dcterms:W3CDTF">2019-05-08T20:39:00Z</dcterms:created>
  <dcterms:modified xsi:type="dcterms:W3CDTF">2021-12-06T10:09:00Z</dcterms:modified>
</cp:coreProperties>
</file>