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BEBE" w14:textId="3F53B567" w:rsidR="00A640AD" w:rsidRDefault="00E03FA6" w:rsidP="00515F7B">
      <w:pPr>
        <w:pStyle w:val="MITitel"/>
      </w:pPr>
      <w:r>
        <w:t xml:space="preserve">Wie </w:t>
      </w:r>
      <w:r w:rsidR="00CF4F10">
        <w:t>gestalten</w:t>
      </w:r>
      <w:r w:rsidR="00CE130E">
        <w:t xml:space="preserve"> </w:t>
      </w:r>
      <w:r>
        <w:t xml:space="preserve">Sie </w:t>
      </w:r>
      <w:r w:rsidR="00CF4F10">
        <w:t>die</w:t>
      </w:r>
      <w:r>
        <w:t xml:space="preserve"> Unternehmensnachfolge </w:t>
      </w:r>
      <w:proofErr w:type="spellStart"/>
      <w:r>
        <w:t>schenkungsteuerlich</w:t>
      </w:r>
      <w:proofErr w:type="spellEnd"/>
      <w:r>
        <w:t xml:space="preserve"> am </w:t>
      </w:r>
      <w:r w:rsidR="009A3C5D">
        <w:t>g</w:t>
      </w:r>
      <w:r>
        <w:t>ünstigsten?</w:t>
      </w:r>
    </w:p>
    <w:p w14:paraId="4F0248AD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BC6D5B2" w14:textId="514052B2" w:rsidR="00E03FA6" w:rsidRDefault="00E03FA6" w:rsidP="00E03FA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bei</w:t>
      </w:r>
      <w:r w:rsidR="009A3C5D">
        <w:rPr>
          <w:sz w:val="20"/>
          <w:szCs w:val="20"/>
        </w:rPr>
        <w:t xml:space="preserve"> der</w:t>
      </w:r>
      <w:r>
        <w:rPr>
          <w:sz w:val="20"/>
          <w:szCs w:val="20"/>
        </w:rPr>
        <w:t xml:space="preserve"> Über</w:t>
      </w:r>
      <w:r w:rsidR="009A3C5D">
        <w:rPr>
          <w:sz w:val="20"/>
          <w:szCs w:val="20"/>
        </w:rPr>
        <w:t>tragung</w:t>
      </w:r>
      <w:r>
        <w:rPr>
          <w:sz w:val="20"/>
          <w:szCs w:val="20"/>
        </w:rPr>
        <w:t xml:space="preserve"> von betriebliche</w:t>
      </w:r>
      <w:r w:rsidR="00CE130E">
        <w:rPr>
          <w:sz w:val="20"/>
          <w:szCs w:val="20"/>
        </w:rPr>
        <w:t>m</w:t>
      </w:r>
      <w:r>
        <w:rPr>
          <w:sz w:val="20"/>
          <w:szCs w:val="20"/>
        </w:rPr>
        <w:t xml:space="preserve"> Vermögen auf die nachfolgende Generation, insbesondere im Rahmen der vorweggenommenen Erbfolge</w:t>
      </w:r>
      <w:r w:rsidR="00CE130E">
        <w:rPr>
          <w:sz w:val="20"/>
          <w:szCs w:val="20"/>
        </w:rPr>
        <w:t>,</w:t>
      </w:r>
      <w:r>
        <w:rPr>
          <w:sz w:val="20"/>
          <w:szCs w:val="20"/>
        </w:rPr>
        <w:t xml:space="preserve"> sind einige steuerliche Aspekte zu beachten. Die Gefahr von hohen </w:t>
      </w:r>
      <w:proofErr w:type="spellStart"/>
      <w:r>
        <w:rPr>
          <w:sz w:val="20"/>
          <w:szCs w:val="20"/>
        </w:rPr>
        <w:t>schenkungsteuerlichen</w:t>
      </w:r>
      <w:proofErr w:type="spellEnd"/>
      <w:r>
        <w:rPr>
          <w:sz w:val="20"/>
          <w:szCs w:val="20"/>
        </w:rPr>
        <w:t xml:space="preserve"> Belastungen steht im Raum. Andererseits </w:t>
      </w:r>
      <w:r w:rsidR="00CE130E">
        <w:rPr>
          <w:sz w:val="20"/>
          <w:szCs w:val="20"/>
        </w:rPr>
        <w:t>kann</w:t>
      </w:r>
      <w:r>
        <w:rPr>
          <w:sz w:val="20"/>
          <w:szCs w:val="20"/>
        </w:rPr>
        <w:t xml:space="preserve"> durch </w:t>
      </w:r>
      <w:r w:rsidR="00CE130E">
        <w:rPr>
          <w:sz w:val="20"/>
          <w:szCs w:val="20"/>
        </w:rPr>
        <w:t xml:space="preserve">eine </w:t>
      </w:r>
      <w:r>
        <w:rPr>
          <w:sz w:val="20"/>
          <w:szCs w:val="20"/>
        </w:rPr>
        <w:t xml:space="preserve">gezielte Planung insbesondere bei kleinen und mittelständigen Unternehmen </w:t>
      </w:r>
      <w:r w:rsidR="00CE130E">
        <w:rPr>
          <w:sz w:val="20"/>
          <w:szCs w:val="20"/>
        </w:rPr>
        <w:t xml:space="preserve">die </w:t>
      </w:r>
      <w:r>
        <w:rPr>
          <w:sz w:val="20"/>
          <w:szCs w:val="20"/>
        </w:rPr>
        <w:t xml:space="preserve">Belastung an Erbschaft- und Schenkungsteuer </w:t>
      </w:r>
      <w:r w:rsidR="00CE130E">
        <w:rPr>
          <w:sz w:val="20"/>
          <w:szCs w:val="20"/>
        </w:rPr>
        <w:t>erheblich bis ganz reduziert werden</w:t>
      </w:r>
      <w:r>
        <w:rPr>
          <w:sz w:val="20"/>
          <w:szCs w:val="20"/>
        </w:rPr>
        <w:t>.</w:t>
      </w:r>
    </w:p>
    <w:p w14:paraId="4600ECBF" w14:textId="3512A243" w:rsidR="00E03FA6" w:rsidRDefault="00E03FA6" w:rsidP="00E03FA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Die steuerlichen Verschonungen erfolgen auf den nach steuerlichen Bewertungsvorschriften ermittelten Wert des begünstigten Betriebsvermögens. Im Rahmen der sog. Regelverschonung ist es möglich</w:t>
      </w:r>
      <w:r w:rsidR="009A3C5D">
        <w:rPr>
          <w:sz w:val="20"/>
          <w:szCs w:val="20"/>
        </w:rPr>
        <w:t>,</w:t>
      </w:r>
      <w:r>
        <w:rPr>
          <w:sz w:val="20"/>
          <w:szCs w:val="20"/>
        </w:rPr>
        <w:t xml:space="preserve"> 85</w:t>
      </w:r>
      <w:r w:rsidR="00CE13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 des betrieblichen Vermögens freizustellen. Bei der sog. Optionsverschonung </w:t>
      </w:r>
      <w:r w:rsidR="00EA248E">
        <w:rPr>
          <w:sz w:val="20"/>
          <w:szCs w:val="20"/>
        </w:rPr>
        <w:t xml:space="preserve">sind es </w:t>
      </w:r>
      <w:r>
        <w:rPr>
          <w:sz w:val="20"/>
          <w:szCs w:val="20"/>
        </w:rPr>
        <w:t>sogar 100</w:t>
      </w:r>
      <w:r w:rsidR="00CE13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%. Allerdings sind beide Möglichkeiten an strenge Vorgaben geknüpft. So müssen Arbeitsplätze im Rahmen der sog. Lohnsummenregelung erhalten bleiben, sonst droht eine Aberkennung der Verschonung. Darüber hinaus greifen zeitlich beschränkte </w:t>
      </w:r>
      <w:proofErr w:type="spellStart"/>
      <w:r>
        <w:rPr>
          <w:sz w:val="20"/>
          <w:szCs w:val="20"/>
        </w:rPr>
        <w:t>Behaltensregelungen</w:t>
      </w:r>
      <w:proofErr w:type="spellEnd"/>
      <w:r>
        <w:rPr>
          <w:sz w:val="20"/>
          <w:szCs w:val="20"/>
        </w:rPr>
        <w:t>.</w:t>
      </w:r>
    </w:p>
    <w:p w14:paraId="2C87488F" w14:textId="02B656EA" w:rsidR="00E03FA6" w:rsidRDefault="00E03FA6" w:rsidP="00E03FA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Nicht immer ist eine komplette steuerliche Freistellung des betrieblichen Vermögens machbar. In diesen Fällen kann noch auf steuerliche Freibeträge zurückgegriffen werden. Diese können außerdem bei Übertragungen in Etappen alle </w:t>
      </w:r>
      <w:r w:rsidR="00CE130E">
        <w:rPr>
          <w:sz w:val="20"/>
          <w:szCs w:val="20"/>
        </w:rPr>
        <w:t xml:space="preserve">zehn </w:t>
      </w:r>
      <w:r>
        <w:rPr>
          <w:sz w:val="20"/>
          <w:szCs w:val="20"/>
        </w:rPr>
        <w:t xml:space="preserve">Jahre erneut genutzt werden.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28B811D0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2CC12303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266E753C" wp14:editId="769448AC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3D6A0E6C" w14:textId="28310BA0" w:rsidR="00515F7B" w:rsidRPr="001165EB" w:rsidRDefault="00E03FA6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der </w:t>
            </w:r>
            <w:r>
              <w:rPr>
                <w:b/>
                <w:sz w:val="20"/>
                <w:szCs w:val="20"/>
              </w:rPr>
              <w:t>Infografik auf der nächsten Seite</w:t>
            </w:r>
            <w:r>
              <w:rPr>
                <w:sz w:val="20"/>
                <w:szCs w:val="20"/>
              </w:rPr>
              <w:t xml:space="preserve"> erhalten Sie einen ersten Überblick zu dieser komplexen Thematik. Für weiter gehende Fragen stehen wir Ihnen gerne persönlich zur Verfügung.</w:t>
            </w:r>
          </w:p>
        </w:tc>
      </w:tr>
    </w:tbl>
    <w:p w14:paraId="38902477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32F23B15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9D86B28" w14:textId="77777777" w:rsidR="00C845F3" w:rsidRDefault="00C845F3" w:rsidP="00C845F3">
      <w:r>
        <w:br w:type="page"/>
      </w:r>
    </w:p>
    <w:p w14:paraId="6E93A5C2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314B0794" w14:textId="30AB00BC" w:rsidR="00C845F3" w:rsidRDefault="000B19A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4805D6" wp14:editId="33D88A45">
            <wp:simplePos x="469900" y="469900"/>
            <wp:positionH relativeFrom="margin">
              <wp:align>left</wp:align>
            </wp:positionH>
            <wp:positionV relativeFrom="margin">
              <wp:align>top</wp:align>
            </wp:positionV>
            <wp:extent cx="6627600" cy="9180000"/>
            <wp:effectExtent l="0" t="0" r="1905" b="2540"/>
            <wp:wrapSquare wrapText="bothSides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600" cy="9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4BFC0" w14:textId="77777777" w:rsidR="00B54B76" w:rsidRDefault="00B54B76" w:rsidP="00574430">
      <w:pPr>
        <w:spacing w:after="0" w:line="240" w:lineRule="auto"/>
      </w:pPr>
      <w:r>
        <w:separator/>
      </w:r>
    </w:p>
  </w:endnote>
  <w:endnote w:type="continuationSeparator" w:id="0">
    <w:p w14:paraId="628086D6" w14:textId="77777777" w:rsidR="00B54B76" w:rsidRDefault="00B54B76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CA2B" w14:textId="77777777" w:rsidR="00B54B76" w:rsidRDefault="00B54B76" w:rsidP="00574430">
      <w:pPr>
        <w:spacing w:after="0" w:line="240" w:lineRule="auto"/>
      </w:pPr>
      <w:r>
        <w:separator/>
      </w:r>
    </w:p>
  </w:footnote>
  <w:footnote w:type="continuationSeparator" w:id="0">
    <w:p w14:paraId="10E28D54" w14:textId="77777777" w:rsidR="00B54B76" w:rsidRDefault="00B54B76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43240"/>
    <w:rsid w:val="000B19A5"/>
    <w:rsid w:val="00173CF4"/>
    <w:rsid w:val="00251FB4"/>
    <w:rsid w:val="0033246C"/>
    <w:rsid w:val="00515F7B"/>
    <w:rsid w:val="00574430"/>
    <w:rsid w:val="005A56CA"/>
    <w:rsid w:val="007D710B"/>
    <w:rsid w:val="009355A7"/>
    <w:rsid w:val="009A3C5D"/>
    <w:rsid w:val="00A640AD"/>
    <w:rsid w:val="00AB331E"/>
    <w:rsid w:val="00B54B76"/>
    <w:rsid w:val="00C845F3"/>
    <w:rsid w:val="00CE130E"/>
    <w:rsid w:val="00CF4F10"/>
    <w:rsid w:val="00D45702"/>
    <w:rsid w:val="00E03FA6"/>
    <w:rsid w:val="00E10787"/>
    <w:rsid w:val="00E31ED0"/>
    <w:rsid w:val="00E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83E2EB"/>
  <w15:docId w15:val="{AB910069-5BD5-4987-9665-A25E5297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C5D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C5D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118_Übertragung von Betriebsvermögen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118_Übertragung von Betriebsvermögen</dc:title>
  <dc:creator>Deubner Verlag GmbH &amp; Co. KG</dc:creator>
  <cp:lastModifiedBy>Wessel, Anika</cp:lastModifiedBy>
  <cp:revision>6</cp:revision>
  <dcterms:created xsi:type="dcterms:W3CDTF">2021-03-05T10:48:00Z</dcterms:created>
  <dcterms:modified xsi:type="dcterms:W3CDTF">2021-03-10T07:58:00Z</dcterms:modified>
</cp:coreProperties>
</file>