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6F80" w14:textId="2B5B7B45" w:rsidR="00A640AD" w:rsidRDefault="00EA3AB7" w:rsidP="00515F7B">
      <w:pPr>
        <w:pStyle w:val="MITitel"/>
      </w:pPr>
      <w:r>
        <w:t xml:space="preserve">Unter welchen Voraussetzungen können Sie </w:t>
      </w:r>
      <w:r w:rsidR="00F71B65">
        <w:t xml:space="preserve">Ihre </w:t>
      </w:r>
      <w:r>
        <w:t>Umzugskosten steuer</w:t>
      </w:r>
      <w:r w:rsidR="00F844B5">
        <w:t>mindernd geltend machen</w:t>
      </w:r>
      <w:r>
        <w:t>?</w:t>
      </w:r>
    </w:p>
    <w:p w14:paraId="01A54D2F" w14:textId="3562438D" w:rsidR="00C845F3" w:rsidRPr="001165EB" w:rsidRDefault="00C845F3" w:rsidP="00C845F3">
      <w:pPr>
        <w:pStyle w:val="MIFlietext"/>
        <w:jc w:val="left"/>
        <w:rPr>
          <w:sz w:val="20"/>
          <w:szCs w:val="20"/>
        </w:rPr>
      </w:pPr>
      <w:r>
        <w:rPr>
          <w:sz w:val="20"/>
          <w:szCs w:val="20"/>
        </w:rPr>
        <w:t>Sehr geehrte Mandantin,</w:t>
      </w:r>
      <w:r w:rsidRPr="001165EB">
        <w:rPr>
          <w:sz w:val="20"/>
          <w:szCs w:val="20"/>
        </w:rPr>
        <w:br/>
        <w:t>sehr geehrter Mandant,</w:t>
      </w:r>
    </w:p>
    <w:p w14:paraId="3AC19BF6" w14:textId="77777777" w:rsidR="00223577" w:rsidRDefault="00EA3AB7" w:rsidP="00FD714A">
      <w:pPr>
        <w:pStyle w:val="MIFlietext"/>
        <w:rPr>
          <w:sz w:val="20"/>
          <w:szCs w:val="20"/>
        </w:rPr>
      </w:pPr>
      <w:r>
        <w:rPr>
          <w:sz w:val="20"/>
          <w:szCs w:val="20"/>
        </w:rPr>
        <w:t xml:space="preserve">Umzüge gehören aus den unterschiedlichsten Gründen zum Leben dazu. Ob vom Land in </w:t>
      </w:r>
      <w:r w:rsidR="00811B67">
        <w:rPr>
          <w:sz w:val="20"/>
          <w:szCs w:val="20"/>
        </w:rPr>
        <w:t xml:space="preserve">die </w:t>
      </w:r>
      <w:r>
        <w:rPr>
          <w:sz w:val="20"/>
          <w:szCs w:val="20"/>
        </w:rPr>
        <w:t>Stadt oder umgekehrt</w:t>
      </w:r>
      <w:r w:rsidR="00811B67">
        <w:rPr>
          <w:sz w:val="20"/>
          <w:szCs w:val="20"/>
        </w:rPr>
        <w:t xml:space="preserve"> </w:t>
      </w:r>
      <w:r>
        <w:rPr>
          <w:sz w:val="20"/>
          <w:szCs w:val="20"/>
        </w:rPr>
        <w:t>- oftmals hat ein Umzug neben privaten Veranlassungen (z.B. de</w:t>
      </w:r>
      <w:r w:rsidR="00697458">
        <w:rPr>
          <w:sz w:val="20"/>
          <w:szCs w:val="20"/>
        </w:rPr>
        <w:t>m</w:t>
      </w:r>
      <w:r>
        <w:rPr>
          <w:sz w:val="20"/>
          <w:szCs w:val="20"/>
        </w:rPr>
        <w:t xml:space="preserve"> Erwerb eines Eigenheims) auch berufliche Gründe</w:t>
      </w:r>
      <w:r w:rsidR="00811B67">
        <w:rPr>
          <w:sz w:val="20"/>
          <w:szCs w:val="20"/>
        </w:rPr>
        <w:t xml:space="preserve"> (z.B. ein</w:t>
      </w:r>
      <w:r w:rsidR="00697458">
        <w:rPr>
          <w:sz w:val="20"/>
          <w:szCs w:val="20"/>
        </w:rPr>
        <w:t>en</w:t>
      </w:r>
      <w:r w:rsidR="00811B67">
        <w:rPr>
          <w:sz w:val="20"/>
          <w:szCs w:val="20"/>
        </w:rPr>
        <w:t xml:space="preserve"> kürzere</w:t>
      </w:r>
      <w:r w:rsidR="00697458">
        <w:rPr>
          <w:sz w:val="20"/>
          <w:szCs w:val="20"/>
        </w:rPr>
        <w:t>n</w:t>
      </w:r>
      <w:r w:rsidR="00811B67">
        <w:rPr>
          <w:sz w:val="20"/>
          <w:szCs w:val="20"/>
        </w:rPr>
        <w:t xml:space="preserve"> Arbeitsweg)</w:t>
      </w:r>
      <w:r>
        <w:rPr>
          <w:sz w:val="20"/>
          <w:szCs w:val="20"/>
        </w:rPr>
        <w:t xml:space="preserve">. </w:t>
      </w:r>
    </w:p>
    <w:p w14:paraId="294A0264" w14:textId="0E504D8D" w:rsidR="00EA3AB7" w:rsidRDefault="00EA3AB7" w:rsidP="00FD714A">
      <w:pPr>
        <w:pStyle w:val="MIFlietext"/>
        <w:rPr>
          <w:sz w:val="20"/>
          <w:szCs w:val="20"/>
        </w:rPr>
      </w:pPr>
      <w:r>
        <w:rPr>
          <w:sz w:val="20"/>
          <w:szCs w:val="20"/>
        </w:rPr>
        <w:t xml:space="preserve">Ist </w:t>
      </w:r>
      <w:r w:rsidR="00811B67">
        <w:rPr>
          <w:sz w:val="20"/>
          <w:szCs w:val="20"/>
        </w:rPr>
        <w:t>Ihr</w:t>
      </w:r>
      <w:r>
        <w:rPr>
          <w:sz w:val="20"/>
          <w:szCs w:val="20"/>
        </w:rPr>
        <w:t xml:space="preserve"> Umzug </w:t>
      </w:r>
      <w:r w:rsidR="00811B67">
        <w:rPr>
          <w:sz w:val="20"/>
          <w:szCs w:val="20"/>
        </w:rPr>
        <w:t>b</w:t>
      </w:r>
      <w:r>
        <w:rPr>
          <w:sz w:val="20"/>
          <w:szCs w:val="20"/>
        </w:rPr>
        <w:t>eruf</w:t>
      </w:r>
      <w:r w:rsidR="00811B67">
        <w:rPr>
          <w:sz w:val="20"/>
          <w:szCs w:val="20"/>
        </w:rPr>
        <w:t>lich</w:t>
      </w:r>
      <w:r>
        <w:rPr>
          <w:sz w:val="20"/>
          <w:szCs w:val="20"/>
        </w:rPr>
        <w:t xml:space="preserve"> veranlass</w:t>
      </w:r>
      <w:r w:rsidR="00811B67">
        <w:rPr>
          <w:sz w:val="20"/>
          <w:szCs w:val="20"/>
        </w:rPr>
        <w:t>t</w:t>
      </w:r>
      <w:r>
        <w:rPr>
          <w:sz w:val="20"/>
          <w:szCs w:val="20"/>
        </w:rPr>
        <w:t xml:space="preserve">, können </w:t>
      </w:r>
      <w:r w:rsidR="00811B67">
        <w:rPr>
          <w:sz w:val="20"/>
          <w:szCs w:val="20"/>
        </w:rPr>
        <w:t>Sie Ihre</w:t>
      </w:r>
      <w:r>
        <w:rPr>
          <w:sz w:val="20"/>
          <w:szCs w:val="20"/>
        </w:rPr>
        <w:t xml:space="preserve"> </w:t>
      </w:r>
      <w:r w:rsidR="00811B67">
        <w:rPr>
          <w:sz w:val="20"/>
          <w:szCs w:val="20"/>
        </w:rPr>
        <w:t>Ausgaben</w:t>
      </w:r>
      <w:r>
        <w:rPr>
          <w:sz w:val="20"/>
          <w:szCs w:val="20"/>
        </w:rPr>
        <w:t xml:space="preserve"> </w:t>
      </w:r>
      <w:r w:rsidR="00811B67">
        <w:rPr>
          <w:sz w:val="20"/>
          <w:szCs w:val="20"/>
        </w:rPr>
        <w:t xml:space="preserve">als Werbungskosten </w:t>
      </w:r>
      <w:r>
        <w:rPr>
          <w:sz w:val="20"/>
          <w:szCs w:val="20"/>
        </w:rPr>
        <w:t xml:space="preserve">steuerlich geltend machen. </w:t>
      </w:r>
      <w:r w:rsidR="00811B67">
        <w:rPr>
          <w:sz w:val="20"/>
          <w:szCs w:val="20"/>
        </w:rPr>
        <w:t xml:space="preserve">Dazu müssen Sie allerdings nicht nur die Belege aufheben, sondern auch die Voraussetzungen der beruflichen Veranlassung erfüllen. </w:t>
      </w:r>
      <w:r w:rsidR="00697458">
        <w:rPr>
          <w:sz w:val="20"/>
          <w:szCs w:val="20"/>
        </w:rPr>
        <w:t>Ihre</w:t>
      </w:r>
      <w:r w:rsidR="000D770D">
        <w:rPr>
          <w:sz w:val="20"/>
          <w:szCs w:val="20"/>
        </w:rPr>
        <w:t xml:space="preserve"> beruf</w:t>
      </w:r>
      <w:r w:rsidR="00811B67">
        <w:rPr>
          <w:sz w:val="20"/>
          <w:szCs w:val="20"/>
        </w:rPr>
        <w:t>lichen</w:t>
      </w:r>
      <w:r w:rsidR="000D770D">
        <w:rPr>
          <w:sz w:val="20"/>
          <w:szCs w:val="20"/>
        </w:rPr>
        <w:t xml:space="preserve"> Motive </w:t>
      </w:r>
      <w:r w:rsidR="00697458">
        <w:rPr>
          <w:sz w:val="20"/>
          <w:szCs w:val="20"/>
        </w:rPr>
        <w:t xml:space="preserve">müssen </w:t>
      </w:r>
      <w:r w:rsidR="00811B67">
        <w:rPr>
          <w:sz w:val="20"/>
          <w:szCs w:val="20"/>
        </w:rPr>
        <w:t xml:space="preserve">gegenüber möglichen privaten </w:t>
      </w:r>
      <w:r w:rsidR="004620C2">
        <w:rPr>
          <w:sz w:val="20"/>
          <w:szCs w:val="20"/>
        </w:rPr>
        <w:t xml:space="preserve">Gründen </w:t>
      </w:r>
      <w:r w:rsidR="000D770D">
        <w:rPr>
          <w:sz w:val="20"/>
          <w:szCs w:val="20"/>
        </w:rPr>
        <w:t xml:space="preserve">stark überwiegen. </w:t>
      </w:r>
    </w:p>
    <w:p w14:paraId="474E3074" w14:textId="26CB3E51" w:rsidR="000D770D" w:rsidRDefault="00811B67" w:rsidP="00FD714A">
      <w:pPr>
        <w:pStyle w:val="MIFlietext"/>
        <w:rPr>
          <w:sz w:val="20"/>
          <w:szCs w:val="20"/>
        </w:rPr>
      </w:pPr>
      <w:r>
        <w:rPr>
          <w:sz w:val="20"/>
          <w:szCs w:val="20"/>
        </w:rPr>
        <w:t>Ist Ihr Umzug dagegen privat motiviert oder durch Ihre Ausbildung veranlasst, kommt der Werbungskostenabzug zwar nicht in Frage. Dafür können Ihre Kosten aber unter Umständen bei den haushaltsnahen Dienstleistungen, den außergewöhnlichen Belastungen oder den Sonderausgaben in Ihrer Einkommensteuererklärung auftauchen.</w:t>
      </w:r>
    </w:p>
    <w:tbl>
      <w:tblPr>
        <w:tblStyle w:val="MITabelleeinspaltig"/>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8509"/>
      </w:tblGrid>
      <w:tr w:rsidR="00515F7B" w:rsidRPr="001165EB" w14:paraId="733D4C93" w14:textId="77777777" w:rsidTr="000D770D">
        <w:trPr>
          <w:cnfStyle w:val="100000000000" w:firstRow="1" w:lastRow="0" w:firstColumn="0" w:lastColumn="0" w:oddVBand="0" w:evenVBand="0" w:oddHBand="0" w:evenHBand="0" w:firstRowFirstColumn="0" w:firstRowLastColumn="0" w:lastRowFirstColumn="0" w:lastRowLastColumn="0"/>
          <w:trHeight w:val="567"/>
        </w:trPr>
        <w:tc>
          <w:tcPr>
            <w:tcW w:w="737" w:type="dxa"/>
            <w:vAlign w:val="center"/>
          </w:tcPr>
          <w:p w14:paraId="240551DA" w14:textId="77777777" w:rsidR="00515F7B" w:rsidRPr="001165EB" w:rsidRDefault="00515F7B" w:rsidP="00155FB5">
            <w:pPr>
              <w:pStyle w:val="MIBeispiel-Hinweis"/>
              <w:spacing w:after="0" w:line="240" w:lineRule="auto"/>
              <w:ind w:left="0"/>
              <w:jc w:val="center"/>
              <w:rPr>
                <w:sz w:val="20"/>
                <w:szCs w:val="20"/>
              </w:rPr>
            </w:pPr>
            <w:r w:rsidRPr="001165EB">
              <w:rPr>
                <w:noProof/>
                <w:sz w:val="20"/>
                <w:szCs w:val="20"/>
              </w:rPr>
              <w:drawing>
                <wp:inline distT="0" distB="0" distL="0" distR="0" wp14:anchorId="2CEC43F7" wp14:editId="77795A91">
                  <wp:extent cx="323999" cy="32399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zeichen_kle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999" cy="323999"/>
                          </a:xfrm>
                          <a:prstGeom prst="rect">
                            <a:avLst/>
                          </a:prstGeom>
                        </pic:spPr>
                      </pic:pic>
                    </a:graphicData>
                  </a:graphic>
                </wp:inline>
              </w:drawing>
            </w:r>
          </w:p>
        </w:tc>
        <w:tc>
          <w:tcPr>
            <w:tcW w:w="8509" w:type="dxa"/>
            <w:vAlign w:val="center"/>
          </w:tcPr>
          <w:p w14:paraId="5B6CAD32" w14:textId="19455D66" w:rsidR="00515F7B" w:rsidRPr="001165EB" w:rsidRDefault="00F71B65" w:rsidP="00155FB5">
            <w:pPr>
              <w:pStyle w:val="MIBeispiel-Hinweis"/>
              <w:spacing w:after="0"/>
              <w:ind w:left="0"/>
              <w:rPr>
                <w:sz w:val="20"/>
                <w:szCs w:val="20"/>
              </w:rPr>
            </w:pPr>
            <w:r>
              <w:rPr>
                <w:sz w:val="20"/>
                <w:szCs w:val="20"/>
              </w:rPr>
              <w:t xml:space="preserve">Unter welchen Umständen Ihr Umzug </w:t>
            </w:r>
            <w:r w:rsidR="00697458">
              <w:rPr>
                <w:sz w:val="20"/>
                <w:szCs w:val="20"/>
              </w:rPr>
              <w:t xml:space="preserve">als </w:t>
            </w:r>
            <w:r>
              <w:rPr>
                <w:sz w:val="20"/>
                <w:szCs w:val="20"/>
              </w:rPr>
              <w:t xml:space="preserve">beruflich veranlasst </w:t>
            </w:r>
            <w:r w:rsidR="00697458">
              <w:rPr>
                <w:sz w:val="20"/>
                <w:szCs w:val="20"/>
              </w:rPr>
              <w:t>anerkannt wird</w:t>
            </w:r>
            <w:r>
              <w:rPr>
                <w:sz w:val="20"/>
                <w:szCs w:val="20"/>
              </w:rPr>
              <w:t xml:space="preserve"> und welche Kosten Sie im Einzelnen geltend machen können, </w:t>
            </w:r>
            <w:r w:rsidR="00697458">
              <w:rPr>
                <w:sz w:val="20"/>
                <w:szCs w:val="20"/>
              </w:rPr>
              <w:t>ersehen Sie in</w:t>
            </w:r>
            <w:r>
              <w:rPr>
                <w:sz w:val="20"/>
                <w:szCs w:val="20"/>
              </w:rPr>
              <w:t xml:space="preserve"> unserer </w:t>
            </w:r>
            <w:r w:rsidRPr="00697458">
              <w:rPr>
                <w:b/>
                <w:bCs w:val="0"/>
                <w:sz w:val="20"/>
                <w:szCs w:val="20"/>
              </w:rPr>
              <w:t>Infografik auf der nächsten Seit</w:t>
            </w:r>
            <w:r w:rsidRPr="00223577">
              <w:rPr>
                <w:b/>
                <w:bCs w:val="0"/>
                <w:sz w:val="20"/>
                <w:szCs w:val="20"/>
              </w:rPr>
              <w:t>e</w:t>
            </w:r>
            <w:r>
              <w:rPr>
                <w:sz w:val="20"/>
                <w:szCs w:val="20"/>
              </w:rPr>
              <w:t xml:space="preserve">. Gerne stehen wir für Rückfragen zur Verfügung. </w:t>
            </w:r>
          </w:p>
        </w:tc>
      </w:tr>
    </w:tbl>
    <w:p w14:paraId="11AF9572" w14:textId="77777777" w:rsidR="00515F7B" w:rsidRPr="001165EB" w:rsidRDefault="00515F7B" w:rsidP="00515F7B">
      <w:pPr>
        <w:pStyle w:val="MIMfG"/>
        <w:spacing w:before="240"/>
        <w:rPr>
          <w:sz w:val="20"/>
          <w:szCs w:val="20"/>
        </w:rPr>
      </w:pPr>
      <w:r w:rsidRPr="001165EB">
        <w:rPr>
          <w:sz w:val="20"/>
          <w:szCs w:val="20"/>
        </w:rPr>
        <w:t>Mit freundlichen Grüßen</w:t>
      </w:r>
    </w:p>
    <w:p w14:paraId="1804FB93" w14:textId="77777777" w:rsidR="00515F7B" w:rsidRPr="001165EB" w:rsidRDefault="00515F7B" w:rsidP="00515F7B">
      <w:pPr>
        <w:pStyle w:val="MIMfG"/>
        <w:rPr>
          <w:sz w:val="20"/>
          <w:szCs w:val="20"/>
        </w:rPr>
      </w:pPr>
    </w:p>
    <w:p w14:paraId="123402FB" w14:textId="77777777" w:rsidR="00515F7B" w:rsidRPr="001165EB" w:rsidRDefault="00515F7B" w:rsidP="00515F7B">
      <w:pPr>
        <w:pStyle w:val="MIMfG"/>
        <w:rPr>
          <w:sz w:val="20"/>
          <w:szCs w:val="20"/>
        </w:rPr>
      </w:pPr>
    </w:p>
    <w:p w14:paraId="2645DCE8" w14:textId="77777777" w:rsidR="00C845F3" w:rsidRDefault="00C845F3" w:rsidP="00C845F3">
      <w:r>
        <w:br w:type="page"/>
      </w:r>
    </w:p>
    <w:p w14:paraId="613888EB" w14:textId="77777777" w:rsidR="00C845F3" w:rsidRDefault="00C845F3">
      <w:pPr>
        <w:sectPr w:rsidR="00C845F3" w:rsidSect="00515F7B">
          <w:pgSz w:w="11906" w:h="16838"/>
          <w:pgMar w:top="7088" w:right="1134" w:bottom="1134" w:left="1134" w:header="709" w:footer="709" w:gutter="0"/>
          <w:cols w:space="708"/>
          <w:titlePg/>
          <w:docGrid w:linePitch="360"/>
        </w:sectPr>
      </w:pPr>
    </w:p>
    <w:p w14:paraId="50E99B01" w14:textId="615DB617" w:rsidR="00C845F3" w:rsidRDefault="00992F8C">
      <w:r>
        <w:rPr>
          <w:noProof/>
        </w:rPr>
        <w:lastRenderedPageBreak/>
        <w:drawing>
          <wp:inline distT="0" distB="0" distL="0" distR="0" wp14:anchorId="796378BA" wp14:editId="631F8518">
            <wp:extent cx="6619240" cy="91713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9240" cy="9171305"/>
                    </a:xfrm>
                    <a:prstGeom prst="rect">
                      <a:avLst/>
                    </a:prstGeom>
                    <a:noFill/>
                    <a:ln>
                      <a:noFill/>
                    </a:ln>
                  </pic:spPr>
                </pic:pic>
              </a:graphicData>
            </a:graphic>
          </wp:inline>
        </w:drawing>
      </w:r>
    </w:p>
    <w:sectPr w:rsidR="00C845F3" w:rsidSect="00C845F3">
      <w:pgSz w:w="11906" w:h="16838"/>
      <w:pgMar w:top="737" w:right="737" w:bottom="164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2088" w14:textId="77777777" w:rsidR="002F1236" w:rsidRDefault="002F1236" w:rsidP="00574430">
      <w:pPr>
        <w:spacing w:after="0" w:line="240" w:lineRule="auto"/>
      </w:pPr>
      <w:r>
        <w:separator/>
      </w:r>
    </w:p>
  </w:endnote>
  <w:endnote w:type="continuationSeparator" w:id="0">
    <w:p w14:paraId="21A77023" w14:textId="77777777" w:rsidR="002F1236" w:rsidRDefault="002F1236" w:rsidP="005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D3DA" w14:textId="77777777" w:rsidR="002F1236" w:rsidRDefault="002F1236" w:rsidP="00574430">
      <w:pPr>
        <w:spacing w:after="0" w:line="240" w:lineRule="auto"/>
      </w:pPr>
      <w:r>
        <w:separator/>
      </w:r>
    </w:p>
  </w:footnote>
  <w:footnote w:type="continuationSeparator" w:id="0">
    <w:p w14:paraId="55F96513" w14:textId="77777777" w:rsidR="002F1236" w:rsidRDefault="002F1236" w:rsidP="00574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visionView w:inkAnnotations="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87"/>
    <w:rsid w:val="000D770D"/>
    <w:rsid w:val="001F6BB3"/>
    <w:rsid w:val="00220A68"/>
    <w:rsid w:val="00223577"/>
    <w:rsid w:val="002D326B"/>
    <w:rsid w:val="002F1236"/>
    <w:rsid w:val="002F70FB"/>
    <w:rsid w:val="00323035"/>
    <w:rsid w:val="0033246C"/>
    <w:rsid w:val="004620C2"/>
    <w:rsid w:val="0051161D"/>
    <w:rsid w:val="00515F7B"/>
    <w:rsid w:val="00574430"/>
    <w:rsid w:val="00584CDB"/>
    <w:rsid w:val="005A56CA"/>
    <w:rsid w:val="005D5A1E"/>
    <w:rsid w:val="00697458"/>
    <w:rsid w:val="00752790"/>
    <w:rsid w:val="0078142D"/>
    <w:rsid w:val="0079429E"/>
    <w:rsid w:val="007A1BFA"/>
    <w:rsid w:val="007D710B"/>
    <w:rsid w:val="00811B67"/>
    <w:rsid w:val="008405C3"/>
    <w:rsid w:val="00927BB3"/>
    <w:rsid w:val="00992F8C"/>
    <w:rsid w:val="009C3E22"/>
    <w:rsid w:val="00A640AD"/>
    <w:rsid w:val="00AB331E"/>
    <w:rsid w:val="00AF377A"/>
    <w:rsid w:val="00B04222"/>
    <w:rsid w:val="00C108F6"/>
    <w:rsid w:val="00C51900"/>
    <w:rsid w:val="00C54D13"/>
    <w:rsid w:val="00C845F3"/>
    <w:rsid w:val="00CD44B9"/>
    <w:rsid w:val="00D73751"/>
    <w:rsid w:val="00E10787"/>
    <w:rsid w:val="00E31ED0"/>
    <w:rsid w:val="00E541D5"/>
    <w:rsid w:val="00E9108F"/>
    <w:rsid w:val="00EA3AB7"/>
    <w:rsid w:val="00EB2033"/>
    <w:rsid w:val="00EB30FB"/>
    <w:rsid w:val="00F71B65"/>
    <w:rsid w:val="00F844B5"/>
    <w:rsid w:val="00FD7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69C7DC"/>
  <w15:docId w15:val="{55F421CB-74F2-4457-8E2D-1B9EAB66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itel">
    <w:name w:val="MI_Titel"/>
    <w:basedOn w:val="Standard"/>
    <w:rsid w:val="00C845F3"/>
    <w:pPr>
      <w:tabs>
        <w:tab w:val="right" w:pos="9639"/>
      </w:tabs>
      <w:suppressAutoHyphens/>
      <w:spacing w:after="440" w:line="480" w:lineRule="exact"/>
    </w:pPr>
    <w:rPr>
      <w:rFonts w:ascii="Arial" w:eastAsia="Times New Roman" w:hAnsi="Arial" w:cs="Times New Roman"/>
      <w:b/>
      <w:bCs/>
      <w:i/>
      <w:iCs/>
      <w:color w:val="0064A8"/>
      <w:sz w:val="36"/>
      <w:szCs w:val="36"/>
      <w:lang w:eastAsia="de-DE"/>
    </w:rPr>
  </w:style>
  <w:style w:type="paragraph" w:customStyle="1" w:styleId="MIFlietext">
    <w:name w:val="MI_Fließtext"/>
    <w:basedOn w:val="Standard"/>
    <w:qFormat/>
    <w:rsid w:val="00C845F3"/>
    <w:pPr>
      <w:spacing w:after="240" w:line="240" w:lineRule="exact"/>
      <w:jc w:val="both"/>
    </w:pPr>
    <w:rPr>
      <w:rFonts w:ascii="Arial" w:eastAsia="Times New Roman" w:hAnsi="Arial" w:cs="Times New Roman"/>
      <w:color w:val="000000"/>
      <w:sz w:val="18"/>
      <w:szCs w:val="18"/>
      <w:lang w:eastAsia="de-DE"/>
    </w:rPr>
  </w:style>
  <w:style w:type="paragraph" w:customStyle="1" w:styleId="MIBeispiel-Hinweis">
    <w:name w:val="MI_Beispiel-Hinweis"/>
    <w:basedOn w:val="Standard"/>
    <w:qFormat/>
    <w:rsid w:val="00C845F3"/>
    <w:pPr>
      <w:shd w:val="clear" w:color="auto" w:fill="BED9EA"/>
      <w:spacing w:after="240" w:line="240" w:lineRule="exact"/>
      <w:ind w:left="284"/>
    </w:pPr>
    <w:rPr>
      <w:rFonts w:ascii="Arial" w:eastAsia="Times New Roman" w:hAnsi="Arial" w:cs="Times New Roman"/>
      <w:bCs/>
      <w:color w:val="000000"/>
      <w:sz w:val="18"/>
      <w:szCs w:val="18"/>
      <w:lang w:eastAsia="de-DE"/>
    </w:rPr>
  </w:style>
  <w:style w:type="paragraph" w:customStyle="1" w:styleId="MIMfG">
    <w:name w:val="MI_MfG"/>
    <w:basedOn w:val="Standard"/>
    <w:rsid w:val="00C845F3"/>
    <w:pPr>
      <w:spacing w:after="240" w:line="240" w:lineRule="exact"/>
      <w:jc w:val="right"/>
    </w:pPr>
    <w:rPr>
      <w:rFonts w:ascii="Arial" w:eastAsia="Times New Roman" w:hAnsi="Arial" w:cs="Times New Roman"/>
      <w:color w:val="000000"/>
      <w:sz w:val="18"/>
      <w:szCs w:val="18"/>
      <w:lang w:eastAsia="de-DE"/>
    </w:rPr>
  </w:style>
  <w:style w:type="table" w:customStyle="1" w:styleId="MITabelleeinspaltig">
    <w:name w:val="MI_Tabelle_einspaltig"/>
    <w:basedOn w:val="NormaleTabelle"/>
    <w:uiPriority w:val="99"/>
    <w:rsid w:val="00C845F3"/>
    <w:pPr>
      <w:spacing w:after="0" w:line="240" w:lineRule="auto"/>
    </w:pPr>
    <w:rPr>
      <w:rFonts w:ascii="Arial" w:eastAsia="Times New Roman" w:hAnsi="Arial" w:cs="Times New Roman"/>
      <w:sz w:val="18"/>
      <w:szCs w:val="20"/>
      <w:lang w:eastAsia="de-DE"/>
    </w:rPr>
    <w:tblPr>
      <w:tblInd w:w="108" w:type="dxa"/>
      <w:tblBorders>
        <w:top w:val="single" w:sz="8" w:space="0" w:color="BED9EA"/>
        <w:left w:val="single" w:sz="8" w:space="0" w:color="BED9EA"/>
        <w:bottom w:val="single" w:sz="8" w:space="0" w:color="BED9EA"/>
        <w:right w:val="single" w:sz="8" w:space="0" w:color="BED9EA"/>
        <w:insideH w:val="single" w:sz="8" w:space="0" w:color="BED9EA"/>
        <w:insideV w:val="single" w:sz="8" w:space="0" w:color="BED9EA"/>
      </w:tblBorders>
    </w:tblPr>
    <w:trPr>
      <w:cantSplit/>
    </w:trPr>
    <w:tcPr>
      <w:shd w:val="clear" w:color="auto" w:fill="auto"/>
    </w:tcPr>
    <w:tblStylePr w:type="firstRow">
      <w:tblPr/>
      <w:tcPr>
        <w:shd w:val="clear" w:color="auto" w:fill="BED9EA"/>
      </w:tcPr>
    </w:tblStylePr>
  </w:style>
  <w:style w:type="paragraph" w:styleId="Sprechblasentext">
    <w:name w:val="Balloon Text"/>
    <w:basedOn w:val="Standard"/>
    <w:link w:val="SprechblasentextZchn"/>
    <w:uiPriority w:val="99"/>
    <w:semiHidden/>
    <w:unhideWhenUsed/>
    <w:rsid w:val="00C845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5F3"/>
    <w:rPr>
      <w:rFonts w:ascii="Tahoma" w:hAnsi="Tahoma" w:cs="Tahoma"/>
      <w:sz w:val="16"/>
      <w:szCs w:val="16"/>
    </w:rPr>
  </w:style>
  <w:style w:type="paragraph" w:styleId="Kopfzeile">
    <w:name w:val="header"/>
    <w:basedOn w:val="Standard"/>
    <w:link w:val="KopfzeileZchn"/>
    <w:uiPriority w:val="99"/>
    <w:unhideWhenUsed/>
    <w:rsid w:val="005744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430"/>
  </w:style>
  <w:style w:type="paragraph" w:styleId="Fuzeile">
    <w:name w:val="footer"/>
    <w:basedOn w:val="Standard"/>
    <w:link w:val="FuzeileZchn"/>
    <w:uiPriority w:val="99"/>
    <w:unhideWhenUsed/>
    <w:rsid w:val="005744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430"/>
  </w:style>
  <w:style w:type="character" w:styleId="Kommentarzeichen">
    <w:name w:val="annotation reference"/>
    <w:basedOn w:val="Absatz-Standardschriftart"/>
    <w:uiPriority w:val="99"/>
    <w:semiHidden/>
    <w:unhideWhenUsed/>
    <w:rsid w:val="00515F7B"/>
    <w:rPr>
      <w:sz w:val="16"/>
      <w:szCs w:val="16"/>
    </w:rPr>
  </w:style>
  <w:style w:type="paragraph" w:styleId="Kommentartext">
    <w:name w:val="annotation text"/>
    <w:basedOn w:val="Standard"/>
    <w:link w:val="KommentartextZchn"/>
    <w:uiPriority w:val="99"/>
    <w:semiHidden/>
    <w:unhideWhenUsed/>
    <w:rsid w:val="00515F7B"/>
    <w:pPr>
      <w:spacing w:after="24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515F7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D714A"/>
    <w:pPr>
      <w:spacing w:after="200"/>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FD714A"/>
    <w:rPr>
      <w:rFonts w:ascii="Arial" w:eastAsia="Times New Roman" w:hAnsi="Arial" w:cs="Times New Roman"/>
      <w:b/>
      <w:bCs/>
      <w:sz w:val="20"/>
      <w:szCs w:val="20"/>
      <w:lang w:eastAsia="de-DE"/>
    </w:rPr>
  </w:style>
  <w:style w:type="paragraph" w:styleId="berarbeitung">
    <w:name w:val="Revision"/>
    <w:hidden/>
    <w:uiPriority w:val="99"/>
    <w:semiHidden/>
    <w:rsid w:val="00584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0D6D-6C4C-46C1-9A76-57FDCEE1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MSC 160_Umzugskosten</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160_Umzugskosten</dc:title>
  <dc:creator>Deubner Recht &amp; Steuern GmbH &amp; Co. KG</dc:creator>
  <cp:lastModifiedBy>Michaelsen, Eleonora</cp:lastModifiedBy>
  <cp:revision>4</cp:revision>
  <dcterms:created xsi:type="dcterms:W3CDTF">2024-02-27T12:05:00Z</dcterms:created>
  <dcterms:modified xsi:type="dcterms:W3CDTF">2024-03-05T09:38:00Z</dcterms:modified>
</cp:coreProperties>
</file>